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F4659" w14:textId="74F74250" w:rsidR="00DC1E01" w:rsidRPr="009F176B" w:rsidRDefault="004B6A65" w:rsidP="005031DD">
      <w:pPr>
        <w:pStyle w:val="TitelVS-NfD-MerklattTeile"/>
      </w:pPr>
      <w:r w:rsidRPr="009F176B">
        <w:t xml:space="preserve">Hinweise zur Handhabung von </w:t>
      </w:r>
      <w:r w:rsidR="00E8572F" w:rsidRPr="009F176B">
        <w:t xml:space="preserve">nichtdeutschen </w:t>
      </w:r>
      <w:r w:rsidRPr="009F176B">
        <w:t xml:space="preserve">Verschlusssachen </w:t>
      </w:r>
    </w:p>
    <w:p w14:paraId="64E7ED65" w14:textId="77777777" w:rsidR="005641C5" w:rsidRDefault="005641C5" w:rsidP="005641C5">
      <w:pPr>
        <w:rPr>
          <w:b/>
          <w:sz w:val="28"/>
        </w:rPr>
      </w:pPr>
    </w:p>
    <w:p w14:paraId="31843BB6" w14:textId="22C15D6F" w:rsidR="004B6A65" w:rsidRPr="009F176B" w:rsidRDefault="004B6A65" w:rsidP="005031DD">
      <w:pPr>
        <w:pStyle w:val="berschrift1"/>
      </w:pPr>
      <w:r w:rsidRPr="009F176B">
        <w:t>Grundsatz</w:t>
      </w:r>
    </w:p>
    <w:p w14:paraId="6AB2624F" w14:textId="325BC506" w:rsidR="00E8572F" w:rsidRDefault="00E8572F" w:rsidP="004B6A65">
      <w:r>
        <w:t xml:space="preserve">Bei nichtdeutschen </w:t>
      </w:r>
      <w:r w:rsidR="00CD166A">
        <w:t>Verschlusssachen (</w:t>
      </w:r>
      <w:r>
        <w:t>VS</w:t>
      </w:r>
      <w:r w:rsidR="00CD166A">
        <w:t>)</w:t>
      </w:r>
      <w:r>
        <w:t xml:space="preserve"> ist zu differenzieren zwischen VS </w:t>
      </w:r>
      <w:bookmarkStart w:id="0" w:name="_Hlk105608697"/>
      <w:r>
        <w:t xml:space="preserve">über- oder zwischenstaatlicher Einrichtungen oder Stellen </w:t>
      </w:r>
      <w:bookmarkEnd w:id="0"/>
      <w:r>
        <w:t>(NATO, EU, ESA, OCCAR u.a.) und VS ausländischer öffentlicher Stellen (z.B. Frankreich, Spanien u.a.).</w:t>
      </w:r>
      <w:r w:rsidR="003B3A6C">
        <w:t xml:space="preserve"> </w:t>
      </w:r>
    </w:p>
    <w:p w14:paraId="6E9B6E65" w14:textId="01CABC1D" w:rsidR="004B6A65" w:rsidRDefault="004B6A65" w:rsidP="004B6A65">
      <w:r>
        <w:t>Die Regelungen des GHB finden auf Verschlusssachen von über</w:t>
      </w:r>
      <w:r w:rsidR="00005ECF">
        <w:t>-</w:t>
      </w:r>
      <w:r>
        <w:t xml:space="preserve"> oder zwischenstaatliche</w:t>
      </w:r>
      <w:r w:rsidR="00005ECF">
        <w:t>n</w:t>
      </w:r>
      <w:r>
        <w:t xml:space="preserve"> Einrichtungen </w:t>
      </w:r>
      <w:r w:rsidR="00E8572F">
        <w:t xml:space="preserve">und Stellen </w:t>
      </w:r>
      <w:r w:rsidR="00614FB0">
        <w:t xml:space="preserve">nur </w:t>
      </w:r>
      <w:r w:rsidR="008E2C0A">
        <w:t>dann un</w:t>
      </w:r>
      <w:r w:rsidR="00614FB0">
        <w:t xml:space="preserve">eingeschränkt </w:t>
      </w:r>
      <w:r w:rsidR="00BF5A10">
        <w:t>Anwendung</w:t>
      </w:r>
      <w:r w:rsidR="006E0B0B">
        <w:t>,</w:t>
      </w:r>
      <w:r w:rsidR="008E2C0A">
        <w:t xml:space="preserve"> </w:t>
      </w:r>
      <w:r w:rsidR="008E2C0A" w:rsidRPr="008E2C0A">
        <w:t>soweit in vertraglichen Vereinbarungen oder projektspezifischen Sicherheitsanweisungen (PSI) auf die Anwendung nationaler Vorschriften verwiesen wird</w:t>
      </w:r>
      <w:r w:rsidR="00BF5A10">
        <w:t>.</w:t>
      </w:r>
    </w:p>
    <w:p w14:paraId="498DD390" w14:textId="0730B1BD" w:rsidR="00AC56B5" w:rsidRDefault="008E2C0A" w:rsidP="004B6A65">
      <w:r>
        <w:t>I</w:t>
      </w:r>
      <w:r w:rsidR="00BF5A10">
        <w:t>n den Fällen, in denen Unternehmen im Rahmen ihrer Beteiligung an Aufträgen</w:t>
      </w:r>
      <w:r w:rsidR="00F50B83">
        <w:t xml:space="preserve"> </w:t>
      </w:r>
      <w:r w:rsidRPr="008E2C0A">
        <w:t xml:space="preserve">über- oder zwischenstaatlicher Einrichtungen oder Stellen </w:t>
      </w:r>
      <w:r w:rsidR="00BF5A10">
        <w:t xml:space="preserve">vertraglich direkt auf die Einhaltung der Geheimschutzvorschriften solcher </w:t>
      </w:r>
      <w:r>
        <w:t>Einrichtungen</w:t>
      </w:r>
      <w:r w:rsidR="00BF5A10">
        <w:t xml:space="preserve"> oder auf die Einhaltung von </w:t>
      </w:r>
      <w:r w:rsidR="00E8572F">
        <w:t>p</w:t>
      </w:r>
      <w:r w:rsidR="00BF5A10">
        <w:t xml:space="preserve">rogramm </w:t>
      </w:r>
      <w:r w:rsidR="003B3A6C">
        <w:t>-</w:t>
      </w:r>
      <w:r w:rsidR="00BF5A10">
        <w:t xml:space="preserve"> oder </w:t>
      </w:r>
      <w:r w:rsidR="00E8572F">
        <w:t>p</w:t>
      </w:r>
      <w:r w:rsidR="00BF5A10">
        <w:t xml:space="preserve">rojektspezifischen Geheimschutzvereinbarungen (sog. </w:t>
      </w:r>
      <w:r w:rsidR="00BF5A10" w:rsidRPr="00BF5A10">
        <w:rPr>
          <w:i/>
        </w:rPr>
        <w:t xml:space="preserve">Programme/Project Security Instructions </w:t>
      </w:r>
      <w:r w:rsidR="003B3A6C">
        <w:rPr>
          <w:i/>
        </w:rPr>
        <w:t>-</w:t>
      </w:r>
      <w:r w:rsidR="00BF5A10" w:rsidRPr="00BF5A10">
        <w:rPr>
          <w:i/>
        </w:rPr>
        <w:t xml:space="preserve"> PSI</w:t>
      </w:r>
      <w:r w:rsidR="00BF5A10">
        <w:t>) verpflichtet worden sind</w:t>
      </w:r>
      <w:r>
        <w:t xml:space="preserve">, </w:t>
      </w:r>
      <w:r w:rsidRPr="008E2C0A">
        <w:t>gehen diese Regelungen dem GHB vor</w:t>
      </w:r>
      <w:r w:rsidR="00BF5A10">
        <w:t>.</w:t>
      </w:r>
      <w:r w:rsidR="00E8572F">
        <w:t xml:space="preserve"> </w:t>
      </w:r>
      <w:r w:rsidR="005C1376">
        <w:t>Hier</w:t>
      </w:r>
      <w:r w:rsidR="00AC56B5">
        <w:t xml:space="preserve"> haben die Sicherheitsorganisationen der jeweiligen Einrichtungen/</w:t>
      </w:r>
      <w:r w:rsidR="00396FDF">
        <w:t xml:space="preserve">Stellen </w:t>
      </w:r>
      <w:r>
        <w:t xml:space="preserve">zudem </w:t>
      </w:r>
      <w:r w:rsidR="00BE4E58">
        <w:t xml:space="preserve">auch </w:t>
      </w:r>
      <w:r w:rsidR="00AC56B5">
        <w:t xml:space="preserve">eigenständige Rechte, die Einhaltung ihrer Geheimschutzvorschriften oder von </w:t>
      </w:r>
      <w:r w:rsidR="00E8572F">
        <w:t>p</w:t>
      </w:r>
      <w:r w:rsidR="00AC56B5" w:rsidRPr="00AC56B5">
        <w:t>rogramm</w:t>
      </w:r>
      <w:r w:rsidR="00583A00">
        <w:t>-</w:t>
      </w:r>
      <w:r w:rsidR="00AC56B5" w:rsidRPr="00AC56B5">
        <w:t xml:space="preserve"> oder </w:t>
      </w:r>
      <w:r w:rsidR="00E8572F">
        <w:t>p</w:t>
      </w:r>
      <w:r w:rsidR="00AC56B5" w:rsidRPr="00AC56B5">
        <w:t xml:space="preserve">rojektspezifischen Geheimschutzvereinbarungen </w:t>
      </w:r>
      <w:r w:rsidR="00AC56B5">
        <w:t>bei ihren Auftragnehmern zu kontrollieren.</w:t>
      </w:r>
    </w:p>
    <w:p w14:paraId="4DB5B1BD" w14:textId="721F42F3" w:rsidR="008E2C0A" w:rsidRDefault="008E2C0A" w:rsidP="004B6A65">
      <w:r w:rsidRPr="008E2C0A">
        <w:t>Im Zusammenhang mit der Aufbewahrung von VS, die Unternehmen von über- oder zwischenstaatliche</w:t>
      </w:r>
      <w:r w:rsidR="00DD0E38">
        <w:t>n</w:t>
      </w:r>
      <w:r w:rsidRPr="008E2C0A">
        <w:t xml:space="preserve"> Einrichtungen oder Stellen überlassen wurden oder von Unternehmen auf Veranlassung dieser Stellen erstellt werden, können die Anforderungen zum materiellen Geheimschutz aus dem GHB sowie aus den technischen Leitlinien des BSI i.d.R. angewendet werden, soweit sie ein vergleichbares Schutzniveau bieten. Für die Behandlung von VS dieser Einrichtungen in IuK gelten aber oft weitergehende spezifische Anforderungen (z.B. für die Akkreditierung der IuK), die zu berücksichtigen sind.</w:t>
      </w:r>
    </w:p>
    <w:p w14:paraId="0AB9A1DD" w14:textId="5892E286" w:rsidR="00E8572F" w:rsidRDefault="00E8572F" w:rsidP="004B6A65">
      <w:r>
        <w:t>VS ausländischer öffentlicher Stellen, welche deutschen Unternehmen im Rahmen von</w:t>
      </w:r>
      <w:r w:rsidRPr="002C1EBF">
        <w:t xml:space="preserve"> bilateralen Abkommen</w:t>
      </w:r>
      <w:r>
        <w:t xml:space="preserve"> überlassen werden, werden hingegen i.d.R. nach den Vorschriften des </w:t>
      </w:r>
      <w:r w:rsidRPr="00583A00">
        <w:t xml:space="preserve">GHB behandelt. Dies ergibt sich aus den entsprechenden </w:t>
      </w:r>
      <w:r w:rsidR="00AB1A4C" w:rsidRPr="00583A00">
        <w:t xml:space="preserve">bilateralen </w:t>
      </w:r>
      <w:r w:rsidRPr="00583A00">
        <w:t xml:space="preserve">Abkommen, </w:t>
      </w:r>
      <w:r w:rsidR="00120284" w:rsidRPr="00583A00">
        <w:t>in denen</w:t>
      </w:r>
      <w:r w:rsidR="003B3A6C">
        <w:t xml:space="preserve"> </w:t>
      </w:r>
      <w:r w:rsidRPr="00583A00">
        <w:t xml:space="preserve">typischerweise eine Äquivalenz der ausländischen </w:t>
      </w:r>
      <w:r w:rsidR="00120284" w:rsidRPr="00583A00">
        <w:t>mit</w:t>
      </w:r>
      <w:r w:rsidR="003B3A6C">
        <w:t xml:space="preserve"> </w:t>
      </w:r>
      <w:r w:rsidR="00AB1A4C" w:rsidRPr="00583A00">
        <w:t xml:space="preserve">den </w:t>
      </w:r>
      <w:r w:rsidRPr="00583A00">
        <w:t xml:space="preserve">deutschen </w:t>
      </w:r>
      <w:r w:rsidR="00AB1A4C" w:rsidRPr="00583A00">
        <w:t>VS-</w:t>
      </w:r>
      <w:r w:rsidRPr="00583A00">
        <w:t>Einstufungsgrade</w:t>
      </w:r>
      <w:r w:rsidR="00AB1A4C" w:rsidRPr="00583A00">
        <w:t>n</w:t>
      </w:r>
      <w:r w:rsidRPr="00583A00">
        <w:t xml:space="preserve"> </w:t>
      </w:r>
      <w:r w:rsidR="00120284" w:rsidRPr="00583A00">
        <w:t>vereinbart wird</w:t>
      </w:r>
      <w:r w:rsidR="00583A00" w:rsidRPr="00583A00">
        <w:t>. Die VS sind</w:t>
      </w:r>
      <w:r w:rsidR="00120284" w:rsidRPr="00583A00">
        <w:t xml:space="preserve"> dann im Partnerland nach den jeweiligen</w:t>
      </w:r>
      <w:r w:rsidR="00583A00" w:rsidRPr="00583A00">
        <w:t xml:space="preserve"> entsprechenden</w:t>
      </w:r>
      <w:r w:rsidR="00120284" w:rsidRPr="00583A00">
        <w:t xml:space="preserve"> nationalen Vorschriften</w:t>
      </w:r>
      <w:r w:rsidR="00583A00" w:rsidRPr="00583A00">
        <w:t xml:space="preserve"> zu schützen</w:t>
      </w:r>
      <w:r w:rsidR="00120284" w:rsidRPr="00583A00">
        <w:t xml:space="preserve"> (d.h. für Unternehmen in Deutschland nach GHB).</w:t>
      </w:r>
      <w:r w:rsidR="00CD166A" w:rsidRPr="00583A00">
        <w:t xml:space="preserve"> </w:t>
      </w:r>
      <w:r w:rsidR="00120284" w:rsidRPr="00583A00">
        <w:t>Soweit es im jeweiligen Partnerland nicht für alle Geheimhaltungsgrade einen vergleichbaren Geheimhaltungsgrad gibt, können bilaterale Abkommen auch Sonderregelungen enthalten.</w:t>
      </w:r>
    </w:p>
    <w:p w14:paraId="08264A7E" w14:textId="5C5A4539" w:rsidR="002C1EBF" w:rsidRDefault="00F6068C" w:rsidP="004B6A65">
      <w:r>
        <w:t>Diese Anlage enthält Hinweise zu den ggf. abweichenden oder weitergehenden Anforderungen</w:t>
      </w:r>
      <w:r w:rsidR="00005ECF">
        <w:t xml:space="preserve"> zur Behandlung von </w:t>
      </w:r>
      <w:r w:rsidR="00E8572F">
        <w:t xml:space="preserve">nichtdeutschen VS </w:t>
      </w:r>
      <w:r w:rsidR="00005ECF" w:rsidRPr="00005ECF">
        <w:t>von über- oder zwischenstaatlichen Einrichtungen</w:t>
      </w:r>
      <w:r w:rsidR="00005ECF">
        <w:t xml:space="preserve"> und </w:t>
      </w:r>
      <w:r w:rsidR="008E2C0A">
        <w:t>Stellen zur</w:t>
      </w:r>
      <w:r w:rsidR="00F50B83">
        <w:t xml:space="preserve"> </w:t>
      </w:r>
      <w:r w:rsidR="00005ECF">
        <w:t>Anwendbarkeit des GHB zur Behandlung solcher VS, wobei die Hinweise nicht als abschließende Darstellung der Abweichungen zu werten sind</w:t>
      </w:r>
      <w:r w:rsidR="0075464B">
        <w:t xml:space="preserve"> (</w:t>
      </w:r>
      <w:r w:rsidR="0075464B">
        <w:fldChar w:fldCharType="begin"/>
      </w:r>
      <w:r w:rsidR="0075464B">
        <w:instrText xml:space="preserve"> REF _Ref102576370 \r \h </w:instrText>
      </w:r>
      <w:r w:rsidR="0075464B">
        <w:fldChar w:fldCharType="separate"/>
      </w:r>
      <w:r w:rsidR="00C4155B">
        <w:t>2</w:t>
      </w:r>
      <w:r w:rsidR="0075464B">
        <w:fldChar w:fldCharType="end"/>
      </w:r>
      <w:r w:rsidR="0075464B">
        <w:t>)</w:t>
      </w:r>
      <w:r w:rsidR="00CD166A">
        <w:t>, sowie</w:t>
      </w:r>
      <w:r w:rsidR="002C1EBF">
        <w:t xml:space="preserve"> Hinweise zur </w:t>
      </w:r>
      <w:r w:rsidR="002C1EBF" w:rsidRPr="002C1EBF">
        <w:t>Behandlung von nichtdeutschen Verschlusssachen</w:t>
      </w:r>
      <w:r w:rsidR="002C1EBF">
        <w:t>, welche deutschen Unternehmen im Rahmen von</w:t>
      </w:r>
      <w:r w:rsidR="002C1EBF" w:rsidRPr="002C1EBF">
        <w:t xml:space="preserve"> bilateralen Abkommen</w:t>
      </w:r>
      <w:r w:rsidR="002C1EBF">
        <w:t xml:space="preserve"> überlassen werden</w:t>
      </w:r>
      <w:r w:rsidR="00CD166A">
        <w:t xml:space="preserve"> (</w:t>
      </w:r>
      <w:r w:rsidR="0075464B">
        <w:fldChar w:fldCharType="begin"/>
      </w:r>
      <w:r w:rsidR="0075464B">
        <w:instrText xml:space="preserve"> REF _Hlk78203199 \r \h </w:instrText>
      </w:r>
      <w:r w:rsidR="0075464B">
        <w:fldChar w:fldCharType="separate"/>
      </w:r>
      <w:r w:rsidR="00C4155B">
        <w:t>3</w:t>
      </w:r>
      <w:r w:rsidR="0075464B">
        <w:fldChar w:fldCharType="end"/>
      </w:r>
      <w:r w:rsidR="00CD166A">
        <w:t>)</w:t>
      </w:r>
      <w:r w:rsidR="002C1EBF">
        <w:t xml:space="preserve">. </w:t>
      </w:r>
    </w:p>
    <w:p w14:paraId="022422D0" w14:textId="74CF1A05" w:rsidR="00CB4D62" w:rsidRDefault="00CB4D62" w:rsidP="005031DD">
      <w:pPr>
        <w:pStyle w:val="berschrift1"/>
      </w:pPr>
      <w:bookmarkStart w:id="1" w:name="_Ref102576370"/>
      <w:r>
        <w:lastRenderedPageBreak/>
        <w:t>Handhabung von VS über- oder zwischenstaatlicher Einrichtungen</w:t>
      </w:r>
      <w:r w:rsidR="003B3A6C">
        <w:t xml:space="preserve"> </w:t>
      </w:r>
      <w:r w:rsidR="0075464B">
        <w:t>und Stellen</w:t>
      </w:r>
      <w:bookmarkEnd w:id="1"/>
    </w:p>
    <w:p w14:paraId="77F2C957" w14:textId="1ACE30A7" w:rsidR="00614FB0" w:rsidRPr="005031DD" w:rsidRDefault="00614FB0" w:rsidP="005031DD">
      <w:pPr>
        <w:pStyle w:val="berschrift2"/>
      </w:pPr>
      <w:r w:rsidRPr="005031DD">
        <w:t xml:space="preserve">Kennzeichnung und Erfassung </w:t>
      </w:r>
    </w:p>
    <w:p w14:paraId="3823152D" w14:textId="34585352" w:rsidR="00614FB0" w:rsidRDefault="00CD166A" w:rsidP="00614FB0">
      <w:pPr>
        <w:rPr>
          <w:highlight w:val="yellow"/>
        </w:rPr>
      </w:pPr>
      <w:r>
        <w:t xml:space="preserve">VS </w:t>
      </w:r>
      <w:r w:rsidR="00614FB0" w:rsidRPr="00614FB0">
        <w:t xml:space="preserve">über oder zwischenstaatlicher Einrichtungen oder </w:t>
      </w:r>
      <w:r>
        <w:t>Stellen</w:t>
      </w:r>
      <w:r w:rsidR="00614FB0">
        <w:t xml:space="preserve"> sind mit den jeweiligen Geheimhaltungskennzeichnungen dieser Einrichtungen / </w:t>
      </w:r>
      <w:r>
        <w:t xml:space="preserve">Stellen </w:t>
      </w:r>
      <w:r w:rsidR="00BE4E58">
        <w:t>versehen</w:t>
      </w:r>
      <w:r w:rsidR="00614FB0">
        <w:t>.</w:t>
      </w:r>
      <w:r w:rsidR="006D3FD4">
        <w:rPr>
          <w:rStyle w:val="Funotenzeichen"/>
        </w:rPr>
        <w:footnoteReference w:id="1"/>
      </w:r>
      <w:r w:rsidR="00614FB0">
        <w:t xml:space="preserve"> </w:t>
      </w:r>
    </w:p>
    <w:p w14:paraId="34F041E1" w14:textId="5FB06012" w:rsidR="004D6E04" w:rsidRDefault="004D6E04" w:rsidP="00614FB0">
      <w:r>
        <w:t xml:space="preserve">Im Zusammenhang mit VS-Aufträgen </w:t>
      </w:r>
      <w:r w:rsidR="008640AB">
        <w:t xml:space="preserve">durch über- oder zwischenstaatliche Einrichtungen </w:t>
      </w:r>
      <w:r w:rsidR="008E2C0A">
        <w:t xml:space="preserve">und Stellen </w:t>
      </w:r>
      <w:r>
        <w:t xml:space="preserve">spielen internationale Geheimhaltungsgrade </w:t>
      </w:r>
      <w:r w:rsidR="00CD166A">
        <w:t>des höchsten</w:t>
      </w:r>
      <w:r>
        <w:t xml:space="preserve"> Level</w:t>
      </w:r>
      <w:r w:rsidR="00CD166A">
        <w:t>s</w:t>
      </w:r>
      <w:r>
        <w:t xml:space="preserve"> TOP SECRET</w:t>
      </w:r>
      <w:r w:rsidR="00396FDF">
        <w:t xml:space="preserve"> (STRENG GEHEIM)</w:t>
      </w:r>
      <w:r>
        <w:t xml:space="preserve"> i.d.R. keine Rolle</w:t>
      </w:r>
      <w:r w:rsidR="008640AB">
        <w:t>.</w:t>
      </w:r>
    </w:p>
    <w:p w14:paraId="5361DEE1" w14:textId="6B637D21" w:rsidR="00614FB0" w:rsidRDefault="00614FB0" w:rsidP="00614FB0">
      <w:r>
        <w:t>VS</w:t>
      </w:r>
      <w:r w:rsidR="008E2C0A">
        <w:t xml:space="preserve"> solcher Einrichtungen, die Unternehmen überlassen werden,</w:t>
      </w:r>
      <w:r w:rsidR="00F50B83">
        <w:t xml:space="preserve"> </w:t>
      </w:r>
      <w:r>
        <w:t xml:space="preserve">können </w:t>
      </w:r>
      <w:r w:rsidR="008E2C0A">
        <w:t xml:space="preserve">in den Unternehmen nach Eingang </w:t>
      </w:r>
      <w:r>
        <w:t xml:space="preserve">zusätzlich mit dem vergleichbaren deutschen Geheimhaltungsgrad gekennzeichnet werden, wobei der originale Geheimhaltungsgrad aber deutlich erkennbar beibehalten </w:t>
      </w:r>
      <w:r w:rsidR="008E2C0A" w:rsidRPr="008E2C0A">
        <w:t>und die VS mit dem internationalen Geheimhaltungsgrad in Bestandsbüchern vereinnahm</w:t>
      </w:r>
      <w:r w:rsidR="008E2C0A">
        <w:t>t</w:t>
      </w:r>
      <w:r w:rsidR="008E2C0A" w:rsidRPr="008E2C0A">
        <w:t xml:space="preserve"> </w:t>
      </w:r>
      <w:r>
        <w:t>werden muss</w:t>
      </w:r>
      <w:r w:rsidR="008E2C0A" w:rsidRPr="008E2C0A">
        <w:t>. Eine solche Kennzeichnung besagt aber nicht, dass die VS in jedem Fall auch entsprechend den Anforderungen an deutsche VS mit vergleichbarem Geheimhaltungsgrad zu behandeln sind</w:t>
      </w:r>
      <w:r>
        <w:t>.</w:t>
      </w:r>
    </w:p>
    <w:p w14:paraId="6CB0310F" w14:textId="7671EAAC" w:rsidR="00BE4E58" w:rsidRDefault="00614FB0" w:rsidP="00614FB0">
      <w:r>
        <w:t xml:space="preserve">Soweit Unternehmen </w:t>
      </w:r>
      <w:r w:rsidR="00AC56B5">
        <w:t xml:space="preserve">im Rahmen von Aufträgen oder Unteraufträgen </w:t>
      </w:r>
      <w:r>
        <w:t>solche</w:t>
      </w:r>
      <w:r w:rsidR="00AC56B5">
        <w:t>r Einrichtungen/</w:t>
      </w:r>
      <w:r w:rsidR="00CD166A">
        <w:t xml:space="preserve">Stellen </w:t>
      </w:r>
      <w:r w:rsidR="00AC56B5">
        <w:t xml:space="preserve">selbst </w:t>
      </w:r>
      <w:r>
        <w:t xml:space="preserve">VS erstellen müssen, sind </w:t>
      </w:r>
      <w:r w:rsidR="00AC56B5">
        <w:t xml:space="preserve">diese VS mit dem entsprechenden Geheimhaltungsgrad </w:t>
      </w:r>
      <w:r w:rsidR="00B07835">
        <w:t xml:space="preserve">der </w:t>
      </w:r>
      <w:r w:rsidR="000F5DD1" w:rsidRPr="000F5DD1">
        <w:t>Einrichtungen/</w:t>
      </w:r>
      <w:r w:rsidR="00CD166A">
        <w:t>Stellen</w:t>
      </w:r>
      <w:r w:rsidR="00CD166A" w:rsidRPr="000F5DD1">
        <w:t xml:space="preserve"> </w:t>
      </w:r>
      <w:r w:rsidR="00AC56B5">
        <w:t>zu kennzeichnen und in den V</w:t>
      </w:r>
      <w:r w:rsidR="000F5DD1">
        <w:t>S</w:t>
      </w:r>
      <w:r w:rsidR="00AC56B5">
        <w:t>-Tagebüchern als internationale VS mit der jeweiligen Abkürzung zu erfassen.</w:t>
      </w:r>
      <w:r w:rsidR="00167595">
        <w:t xml:space="preserve"> </w:t>
      </w:r>
    </w:p>
    <w:p w14:paraId="3E56F413" w14:textId="4867ADDB" w:rsidR="00614FB0" w:rsidRDefault="00167595" w:rsidP="00614FB0">
      <w:r>
        <w:t>Weitere Vorgaben zur Anbringung von Zusatzkennzeichnungen</w:t>
      </w:r>
      <w:r w:rsidR="00BE4E58">
        <w:t xml:space="preserve"> zur Klarstellung von </w:t>
      </w:r>
      <w:r>
        <w:t>Weitergabe</w:t>
      </w:r>
      <w:r w:rsidR="00BE4E58">
        <w:t>-</w:t>
      </w:r>
      <w:r>
        <w:t xml:space="preserve"> oder zu Nutzungsbeschränkungen finden sich ggf. in den jeweiligen </w:t>
      </w:r>
      <w:r w:rsidR="00CD166A">
        <w:t>p</w:t>
      </w:r>
      <w:r w:rsidRPr="00167595">
        <w:t>rogramm</w:t>
      </w:r>
      <w:r>
        <w:t>-</w:t>
      </w:r>
      <w:r w:rsidRPr="00167595">
        <w:t xml:space="preserve"> oder </w:t>
      </w:r>
      <w:r w:rsidR="00CD166A">
        <w:t>p</w:t>
      </w:r>
      <w:r w:rsidRPr="00167595">
        <w:t xml:space="preserve">rojektspezifischen Geheimschutzvereinbarungen (Programme/Project Security Instructions </w:t>
      </w:r>
      <w:r>
        <w:t>-</w:t>
      </w:r>
      <w:r w:rsidRPr="00167595">
        <w:t xml:space="preserve"> PSI)</w:t>
      </w:r>
      <w:r>
        <w:t>.</w:t>
      </w:r>
    </w:p>
    <w:p w14:paraId="28DE5ED6" w14:textId="4C8588BE" w:rsidR="00AC56B5" w:rsidRDefault="00AC56B5" w:rsidP="00614FB0">
      <w:r>
        <w:t>Die Aufbewahrung internationaler VS sollte für Zwecke von Inspektionen durch die Sicherheitsbehörden der internationalen Einrichtungen/</w:t>
      </w:r>
      <w:r w:rsidR="00396FDF">
        <w:t xml:space="preserve">Stelle </w:t>
      </w:r>
      <w:r>
        <w:t>getrennt von anderen VS in zugelassenen VS-Verwahrgelassen oder VS-Sperrzonen aufbewahrt werden.</w:t>
      </w:r>
    </w:p>
    <w:p w14:paraId="688118B8" w14:textId="01895EB4" w:rsidR="00CD166A" w:rsidRDefault="00CD166A" w:rsidP="00614FB0">
      <w:r>
        <w:t>Internationale VS, die mit anderen als den in dieser Anlage beschriebenen VS-Kennzeichnungen gekennzeichnet sind, sind in Deutschland nicht als VS zu behandeln. In Zweifelsfällen sollte aber Rücksprache mit BMWK gehalten werden.</w:t>
      </w:r>
    </w:p>
    <w:p w14:paraId="75E8FABA" w14:textId="39DBC73A" w:rsidR="00AC56B5" w:rsidRPr="00167595" w:rsidRDefault="00AC56B5" w:rsidP="005031DD">
      <w:pPr>
        <w:pStyle w:val="berschrift2"/>
      </w:pPr>
      <w:r w:rsidRPr="00167595">
        <w:t xml:space="preserve">Rechte des </w:t>
      </w:r>
      <w:r w:rsidR="00CB4D62">
        <w:t xml:space="preserve">öffentlichen </w:t>
      </w:r>
      <w:r w:rsidR="00167595">
        <w:t xml:space="preserve">internationalen </w:t>
      </w:r>
      <w:r w:rsidRPr="00167595">
        <w:t>VS-Herausgebers</w:t>
      </w:r>
    </w:p>
    <w:p w14:paraId="05E79A40" w14:textId="5A42884D" w:rsidR="00AC56B5" w:rsidRDefault="00167595" w:rsidP="00614FB0">
      <w:r>
        <w:t xml:space="preserve">Die Rechte des VS-Herausgebers liegen bei </w:t>
      </w:r>
      <w:r w:rsidR="00CD166A">
        <w:t>VS</w:t>
      </w:r>
      <w:r w:rsidRPr="00167595">
        <w:t xml:space="preserve"> von über oder zwischenstaatlicher Einrichtungen oder </w:t>
      </w:r>
      <w:r w:rsidR="00396FDF">
        <w:t>Stellen</w:t>
      </w:r>
      <w:r>
        <w:t xml:space="preserve"> bei der jeweiligen</w:t>
      </w:r>
      <w:r w:rsidRPr="00461195">
        <w:t xml:space="preserve"> Einrichtung/</w:t>
      </w:r>
      <w:r w:rsidR="00396FDF" w:rsidRPr="00461195">
        <w:t>Stelle</w:t>
      </w:r>
      <w:r w:rsidRPr="00461195">
        <w:t xml:space="preserve">. </w:t>
      </w:r>
      <w:r w:rsidR="00B07835" w:rsidRPr="00461195">
        <w:t xml:space="preserve">Soweit </w:t>
      </w:r>
      <w:r w:rsidR="00396FDF" w:rsidRPr="00461195">
        <w:t xml:space="preserve">Unternehmen </w:t>
      </w:r>
      <w:r w:rsidR="00B07835" w:rsidRPr="00461195">
        <w:t xml:space="preserve">im Rahmen eines Auftrages </w:t>
      </w:r>
      <w:r w:rsidR="00396FDF" w:rsidRPr="00461195">
        <w:t xml:space="preserve">VS auf Veranlassung </w:t>
      </w:r>
      <w:r w:rsidR="00B07835" w:rsidRPr="00461195">
        <w:t>eines internationalen</w:t>
      </w:r>
      <w:r w:rsidR="00396FDF" w:rsidRPr="00461195">
        <w:t xml:space="preserve"> VS-Herausgebers </w:t>
      </w:r>
      <w:r w:rsidR="00B07835" w:rsidRPr="00461195">
        <w:t xml:space="preserve">(sog. „originator“) </w:t>
      </w:r>
      <w:r w:rsidR="00396FDF" w:rsidRPr="00461195">
        <w:t>ein</w:t>
      </w:r>
      <w:r w:rsidR="0075464B" w:rsidRPr="00461195">
        <w:t>stufen</w:t>
      </w:r>
      <w:r w:rsidR="00396FDF" w:rsidRPr="00461195">
        <w:t xml:space="preserve">, sind sie stets nur deren Ersteller. Sie sind </w:t>
      </w:r>
      <w:r w:rsidR="00B07835" w:rsidRPr="00461195">
        <w:t xml:space="preserve">dabei </w:t>
      </w:r>
      <w:r w:rsidR="00396FDF" w:rsidRPr="00461195">
        <w:t>ni</w:t>
      </w:r>
      <w:r w:rsidR="00B07835" w:rsidRPr="00461195">
        <w:t xml:space="preserve">cht </w:t>
      </w:r>
      <w:r w:rsidR="00396FDF" w:rsidRPr="00461195">
        <w:t xml:space="preserve">selbst </w:t>
      </w:r>
      <w:r w:rsidR="00B07835" w:rsidRPr="00461195">
        <w:t xml:space="preserve">der </w:t>
      </w:r>
      <w:r w:rsidR="00396FDF" w:rsidRPr="00461195">
        <w:t xml:space="preserve">VS-Herausgeber </w:t>
      </w:r>
      <w:r w:rsidR="00B07835" w:rsidRPr="00461195">
        <w:t xml:space="preserve">bzw. haben selbst nicht das Recht über eine Änderung der VS-Einstufung oder über die Weitergabe </w:t>
      </w:r>
      <w:r w:rsidR="0004003E" w:rsidRPr="00461195">
        <w:t>der VS an Empfänger außerhalb der jeweiligen Organisation zu entscheiden</w:t>
      </w:r>
      <w:r w:rsidR="0075464B" w:rsidRPr="00461195">
        <w:t xml:space="preserve"> </w:t>
      </w:r>
      <w:r w:rsidR="00396FDF" w:rsidRPr="00461195">
        <w:t>(siehe auch 1.9.1 GHB).</w:t>
      </w:r>
    </w:p>
    <w:p w14:paraId="21153349" w14:textId="05880E87" w:rsidR="00167595" w:rsidRDefault="00167595" w:rsidP="00614FB0">
      <w:r>
        <w:t>Dies ist vor allem für die Weitergabe solcher VS</w:t>
      </w:r>
      <w:r w:rsidR="00396FDF">
        <w:t>, z.B.</w:t>
      </w:r>
      <w:r>
        <w:t xml:space="preserve"> an nicht an einem Projekt beteiligte ausländische staatliche Stellen oder an Unterauftragnehmer in solchen Ländern von Bedeutung, da hierfür stets die Zustimmung des Auftraggebers oder amtlichen </w:t>
      </w:r>
      <w:r w:rsidR="00396FDF">
        <w:t>VS-</w:t>
      </w:r>
      <w:r>
        <w:t>Herausgebers der VS eingeholt werden muss</w:t>
      </w:r>
      <w:r w:rsidR="004C2A52">
        <w:t xml:space="preserve"> </w:t>
      </w:r>
      <w:r w:rsidR="004C2A52" w:rsidRPr="004C2A52">
        <w:t xml:space="preserve">(sog. </w:t>
      </w:r>
      <w:r w:rsidR="004C2A52" w:rsidRPr="004C2A52">
        <w:rPr>
          <w:i/>
        </w:rPr>
        <w:t>release approvals</w:t>
      </w:r>
      <w:r w:rsidR="004C2A52" w:rsidRPr="004C2A52">
        <w:t>)</w:t>
      </w:r>
      <w:r>
        <w:t xml:space="preserve">. </w:t>
      </w:r>
    </w:p>
    <w:p w14:paraId="455D4D8A" w14:textId="6818D5FA" w:rsidR="00167595" w:rsidRDefault="00167595" w:rsidP="00614FB0">
      <w:r>
        <w:t xml:space="preserve">Die Prozesse zur Einholung von Weitergabegenehmigungen </w:t>
      </w:r>
      <w:r w:rsidR="004C2A52">
        <w:t>(</w:t>
      </w:r>
      <w:r w:rsidR="00BE4E58">
        <w:t>r</w:t>
      </w:r>
      <w:r w:rsidR="004C2A52">
        <w:t xml:space="preserve">elease approvals) oder zur Unterauftragsvergabe finden sich i.d.R. ebenfalls in den </w:t>
      </w:r>
      <w:r w:rsidR="004C2A52" w:rsidRPr="004C2A52">
        <w:t xml:space="preserve">jeweiligen </w:t>
      </w:r>
      <w:r w:rsidR="00396FDF">
        <w:t>p</w:t>
      </w:r>
      <w:r w:rsidR="004C2A52" w:rsidRPr="004C2A52">
        <w:t xml:space="preserve">rogramm- oder </w:t>
      </w:r>
      <w:r w:rsidR="00396FDF">
        <w:t>p</w:t>
      </w:r>
      <w:r w:rsidR="004C2A52" w:rsidRPr="004C2A52">
        <w:t>rojektspezifischen Geheimschutzvereinbarungen (Programme/Project Security Instructions - PSI)</w:t>
      </w:r>
      <w:r w:rsidR="00BE4E58">
        <w:t xml:space="preserve">. Dabei ersetzt die Genehmigung zur Weitergabe der VS an einen </w:t>
      </w:r>
      <w:r w:rsidR="00BE4E58">
        <w:lastRenderedPageBreak/>
        <w:t>ausländischen Empfänger</w:t>
      </w:r>
      <w:r w:rsidR="004C2A52">
        <w:t xml:space="preserve"> </w:t>
      </w:r>
      <w:r w:rsidR="00BE4E58">
        <w:t xml:space="preserve">allerdings </w:t>
      </w:r>
      <w:r w:rsidR="004C2A52">
        <w:t xml:space="preserve">nicht die nach nationalen Vorschriften </w:t>
      </w:r>
      <w:r w:rsidR="00BE4E58">
        <w:t xml:space="preserve">zusätzlich </w:t>
      </w:r>
      <w:r w:rsidR="004C2A52">
        <w:t>erforderliche Ausfuhrgenehmigung.</w:t>
      </w:r>
    </w:p>
    <w:p w14:paraId="27746EB1" w14:textId="1C8EB12D" w:rsidR="00A6426E" w:rsidRPr="00DF7BC8" w:rsidRDefault="00A6426E" w:rsidP="005031DD">
      <w:pPr>
        <w:pStyle w:val="berschrift2"/>
      </w:pPr>
      <w:r w:rsidRPr="00DF7BC8">
        <w:t>Nachweis der Sicherheitsüberprüfungen für Mitarbeiter</w:t>
      </w:r>
      <w:r w:rsidR="00396FDF">
        <w:t>/innen</w:t>
      </w:r>
      <w:r w:rsidRPr="00DF7BC8">
        <w:t xml:space="preserve"> von Unternehmen</w:t>
      </w:r>
    </w:p>
    <w:p w14:paraId="38C741AF" w14:textId="7D3A57F3" w:rsidR="008640AB" w:rsidRDefault="00763C3E" w:rsidP="00763C3E">
      <w:r>
        <w:t>Soweit Mitarbeiter</w:t>
      </w:r>
      <w:r w:rsidR="00396FDF">
        <w:t>/innen</w:t>
      </w:r>
      <w:r>
        <w:t xml:space="preserve"> von Unternehmen Besuche in über- oder zwischenstaatlichen Einrichtungen</w:t>
      </w:r>
      <w:r w:rsidR="00396FDF">
        <w:t xml:space="preserve"> oder Stellen</w:t>
      </w:r>
      <w:r>
        <w:t xml:space="preserve"> </w:t>
      </w:r>
      <w:r w:rsidR="00883FD4">
        <w:t xml:space="preserve">oder in nichtdeutschen Unternehmen </w:t>
      </w:r>
      <w:r>
        <w:t>durchführen müssen, bei denen sie Zugang zu VS ab CONFIDENTIAL</w:t>
      </w:r>
      <w:r w:rsidR="00396FDF">
        <w:t xml:space="preserve"> (VS-VERTRAULICH)</w:t>
      </w:r>
      <w:r>
        <w:t xml:space="preserve"> oder höher erhalten oder erhalten können, muss </w:t>
      </w:r>
      <w:r w:rsidR="00883FD4">
        <w:t xml:space="preserve">grundsätzlich </w:t>
      </w:r>
      <w:r w:rsidR="00256557">
        <w:t xml:space="preserve">online </w:t>
      </w:r>
      <w:r>
        <w:t>ein Besuchsantrag (</w:t>
      </w:r>
      <w:r w:rsidRPr="00762AA3">
        <w:rPr>
          <w:i/>
        </w:rPr>
        <w:t>Request for Visit</w:t>
      </w:r>
      <w:r>
        <w:t xml:space="preserve">) beim </w:t>
      </w:r>
      <w:r w:rsidR="00883FD4">
        <w:t>BMWK</w:t>
      </w:r>
      <w:r>
        <w:t xml:space="preserve"> gestellt werden</w:t>
      </w:r>
      <w:r w:rsidR="00883FD4">
        <w:t xml:space="preserve"> (zum Besuchskontrollverfahren siehe Kapitel 5 GHB)</w:t>
      </w:r>
      <w:r w:rsidR="00256557">
        <w:t>.</w:t>
      </w:r>
      <w:r w:rsidR="008640AB">
        <w:t xml:space="preserve"> </w:t>
      </w:r>
    </w:p>
    <w:p w14:paraId="74B4D6FC" w14:textId="3D6954DF" w:rsidR="00763C3E" w:rsidRPr="0047132B" w:rsidRDefault="00FD7BE1" w:rsidP="00763C3E">
      <w:r>
        <w:t>BMW</w:t>
      </w:r>
      <w:r w:rsidR="00452988">
        <w:t>K</w:t>
      </w:r>
      <w:r>
        <w:t xml:space="preserve"> prüft das Vorliegen einer VS-Ermächtigung für die Firmenmitarbeiter</w:t>
      </w:r>
      <w:r w:rsidR="002B15D7">
        <w:t>/innen</w:t>
      </w:r>
      <w:r>
        <w:t xml:space="preserve"> und leitet den Besuchsantrag an die zuständige ausländische Sicherheitsbehörde weiter. In bestimmten Fällen werden die Besuchsanträge auch an </w:t>
      </w:r>
      <w:r w:rsidR="00883FD4">
        <w:t xml:space="preserve">das </w:t>
      </w:r>
      <w:r w:rsidR="00883FD4" w:rsidRPr="00883FD4">
        <w:t xml:space="preserve">Bundesamt für Ausrüstung, Informationstechnik und Nutzung der Bundeswehr </w:t>
      </w:r>
      <w:r w:rsidR="00883FD4">
        <w:t>(</w:t>
      </w:r>
      <w:r>
        <w:t>BAAINBw</w:t>
      </w:r>
      <w:r w:rsidR="00883FD4">
        <w:t>)</w:t>
      </w:r>
      <w:r>
        <w:t xml:space="preserve"> zur weiter</w:t>
      </w:r>
      <w:r w:rsidR="00CD166A">
        <w:t>e</w:t>
      </w:r>
      <w:r>
        <w:t>n Bearbeitung weitergeleitet.</w:t>
      </w:r>
      <w:r w:rsidR="00CF2E85">
        <w:t xml:space="preserve"> </w:t>
      </w:r>
      <w:r w:rsidR="008640AB">
        <w:t xml:space="preserve">Dies gilt allerdings nur, soweit in den jeweiligen </w:t>
      </w:r>
      <w:r w:rsidR="00396FDF">
        <w:t>p</w:t>
      </w:r>
      <w:r w:rsidR="008640AB">
        <w:t>rogramm</w:t>
      </w:r>
      <w:r w:rsidR="00396FDF">
        <w:t>-</w:t>
      </w:r>
      <w:r w:rsidR="008640AB">
        <w:t>/</w:t>
      </w:r>
      <w:r w:rsidR="00396FDF">
        <w:t>p</w:t>
      </w:r>
      <w:r w:rsidR="008640AB">
        <w:t>rojektspezifischen Sicherheitsvereinbarungen nicht eine direkte Anmeldung von Besuchern zwischen der den Besuche</w:t>
      </w:r>
      <w:r w:rsidR="002B15D7">
        <w:t>nden</w:t>
      </w:r>
      <w:r w:rsidR="008640AB">
        <w:t xml:space="preserve"> entsendenden und der zu besuchenden Stelle (</w:t>
      </w:r>
      <w:r w:rsidR="00762AA3">
        <w:t xml:space="preserve">d.h. </w:t>
      </w:r>
      <w:r w:rsidR="008640AB">
        <w:t>ohne Beteiligung der zuständigen Sicherheitsbehörden) vereinbart worden ist.</w:t>
      </w:r>
      <w:r w:rsidR="0047132B">
        <w:t xml:space="preserve"> Dann können </w:t>
      </w:r>
      <w:r w:rsidR="0047132B" w:rsidRPr="00C74714">
        <w:rPr>
          <w:rFonts w:ascii="Times-Bold" w:hAnsi="Times-Bold" w:cs="Times-Bold"/>
          <w:color w:val="000000"/>
          <w:szCs w:val="24"/>
        </w:rPr>
        <w:t>Besuchsanträge von dem/der SiBe de</w:t>
      </w:r>
      <w:r w:rsidR="0047132B">
        <w:rPr>
          <w:rFonts w:ascii="Times-Bold" w:hAnsi="Times-Bold" w:cs="Times-Bold"/>
          <w:color w:val="000000"/>
          <w:szCs w:val="24"/>
        </w:rPr>
        <w:t>r</w:t>
      </w:r>
      <w:r w:rsidR="0047132B" w:rsidRPr="00C74714">
        <w:rPr>
          <w:rFonts w:ascii="Times-Bold" w:hAnsi="Times-Bold" w:cs="Times-Bold"/>
          <w:color w:val="000000"/>
          <w:szCs w:val="24"/>
        </w:rPr>
        <w:t xml:space="preserve"> Besuchenden direkt an die für Besuche verantwortlichen Stellen des zu besuchenden Unternehmens oder der nichtdeutschen öffentlichen Stelle übermittelt werden. </w:t>
      </w:r>
    </w:p>
    <w:p w14:paraId="53B4726D" w14:textId="5608ACE1" w:rsidR="008640AB" w:rsidRPr="00763C3E" w:rsidRDefault="008640AB" w:rsidP="00763C3E">
      <w:r>
        <w:t xml:space="preserve">Besuche, bei denen es lediglich um den Zugang zu </w:t>
      </w:r>
      <w:r w:rsidR="007D3DC6">
        <w:t xml:space="preserve">internationalen VS </w:t>
      </w:r>
      <w:r>
        <w:t>bis zum Geheimhaltungsgrad RESTRICTED</w:t>
      </w:r>
      <w:r w:rsidR="00CB4D62">
        <w:t xml:space="preserve"> </w:t>
      </w:r>
      <w:r>
        <w:t>geht, können i.d.R. ohne formale Anforderungen direkt zwischen den beteiligten Einrichtungen angemeldet werden.</w:t>
      </w:r>
      <w:r w:rsidR="00CB4D62">
        <w:t xml:space="preserve"> </w:t>
      </w:r>
      <w:r>
        <w:t>Allerdings fordern dennoch einige ausländische Stellen für den Zutritt zu</w:t>
      </w:r>
      <w:r w:rsidR="00FD7BE1">
        <w:t xml:space="preserve"> ihren militärischen Einrichtungen generell einen Besuchsantrag mit Nachweis der Sicherheitsüberprüfung des Besuche</w:t>
      </w:r>
      <w:r w:rsidR="002B15D7">
        <w:t>nden</w:t>
      </w:r>
      <w:r w:rsidR="00FD7BE1">
        <w:t>.</w:t>
      </w:r>
    </w:p>
    <w:p w14:paraId="4C96AABF" w14:textId="77777777" w:rsidR="004C2A52" w:rsidRPr="004C2A52" w:rsidRDefault="004C2A52" w:rsidP="005031DD">
      <w:pPr>
        <w:pStyle w:val="berschrift2"/>
      </w:pPr>
      <w:r w:rsidRPr="004C2A52">
        <w:t>Sicherheitsvorschriften der NATO</w:t>
      </w:r>
    </w:p>
    <w:p w14:paraId="4B21317C" w14:textId="3B81521F" w:rsidR="004C2A52" w:rsidRDefault="004C2A52" w:rsidP="00614FB0">
      <w:r w:rsidRPr="004C2A52">
        <w:t xml:space="preserve">Die maßgeblichen Bestimmungen zu Austausch, Schutz und Handhabung von NATO-VS sind in Dokument C-M(2002)49 </w:t>
      </w:r>
      <w:r>
        <w:t xml:space="preserve">und den jeweiligen Implementierungsvorschriften </w:t>
      </w:r>
      <w:r w:rsidRPr="004C2A52">
        <w:t xml:space="preserve">in </w:t>
      </w:r>
      <w:r w:rsidR="003673E8">
        <w:t>der jeweils</w:t>
      </w:r>
      <w:r w:rsidR="003673E8" w:rsidRPr="004C2A52">
        <w:t xml:space="preserve"> </w:t>
      </w:r>
      <w:r w:rsidRPr="004C2A52">
        <w:t>gültige</w:t>
      </w:r>
      <w:r>
        <w:t>n</w:t>
      </w:r>
      <w:r w:rsidRPr="004C2A52">
        <w:t xml:space="preserve"> Fassung festgeschrieben. Diese Bestimmungen sind in der Bundesrepublik Deutschland geltendes Recht</w:t>
      </w:r>
      <w:r>
        <w:t>. Sie finden auf Unternehmen aber nur dann unmittelbar Anwendung</w:t>
      </w:r>
      <w:r w:rsidR="003673E8">
        <w:t>,</w:t>
      </w:r>
      <w:r>
        <w:t xml:space="preserve"> </w:t>
      </w:r>
      <w:r w:rsidR="003673E8">
        <w:t xml:space="preserve">wenn </w:t>
      </w:r>
      <w:r>
        <w:t>die Unternehmen in VS-Aufträgen auf die Einhaltung dieser Vorschriften vertraglich verpflichtet wurden.</w:t>
      </w:r>
    </w:p>
    <w:p w14:paraId="5374428E" w14:textId="20D41C16" w:rsidR="004C2A52" w:rsidRPr="005031DD" w:rsidRDefault="004C2A52" w:rsidP="005031DD">
      <w:pPr>
        <w:pStyle w:val="berschrift3"/>
      </w:pPr>
      <w:bookmarkStart w:id="2" w:name="_Hlk75437626"/>
      <w:r w:rsidRPr="005031DD">
        <w:t>NATO</w:t>
      </w:r>
      <w:r w:rsidR="00CB4D62" w:rsidRPr="005031DD">
        <w:t>-</w:t>
      </w:r>
      <w:r w:rsidRPr="005031DD">
        <w:t>Geheimhaltungsgrade</w:t>
      </w:r>
    </w:p>
    <w:p w14:paraId="2E2A19A1" w14:textId="04890AED" w:rsidR="004C2A52" w:rsidRDefault="004C2A52" w:rsidP="00614FB0">
      <w:r>
        <w:t>COSMIC TOP SECRET</w:t>
      </w:r>
      <w:r w:rsidR="003673E8">
        <w:t xml:space="preserve"> </w:t>
      </w:r>
      <w:r>
        <w:t xml:space="preserve">(CTS) </w:t>
      </w:r>
      <w:r w:rsidR="003B3A6C">
        <w:t>-</w:t>
      </w:r>
      <w:r>
        <w:t xml:space="preserve"> vergleichbar STRENG GEHEIM</w:t>
      </w:r>
    </w:p>
    <w:p w14:paraId="2025F960" w14:textId="77777777" w:rsidR="004C2A52" w:rsidRDefault="004C2A52" w:rsidP="00614FB0">
      <w:r>
        <w:t xml:space="preserve">NATO SECRET (NS) - </w:t>
      </w:r>
      <w:r w:rsidRPr="004C2A52">
        <w:t>vergleichbar GEHEIM</w:t>
      </w:r>
    </w:p>
    <w:p w14:paraId="6BDCA114" w14:textId="77777777" w:rsidR="004C2A52" w:rsidRDefault="004C2A52" w:rsidP="00614FB0">
      <w:r>
        <w:t xml:space="preserve">NATO CONFIDENTIAL - </w:t>
      </w:r>
      <w:r w:rsidRPr="004C2A52">
        <w:t xml:space="preserve">vergleichbar </w:t>
      </w:r>
      <w:r>
        <w:t>VS-VERTRAULICH</w:t>
      </w:r>
    </w:p>
    <w:p w14:paraId="0A1C67DE" w14:textId="57557C5B" w:rsidR="004C2A52" w:rsidRDefault="004C2A52" w:rsidP="00614FB0">
      <w:r>
        <w:t>NATO RESTRICTED</w:t>
      </w:r>
      <w:r w:rsidR="002C04B6">
        <w:t xml:space="preserve"> (NR) </w:t>
      </w:r>
      <w:r w:rsidR="003B3A6C">
        <w:t>-</w:t>
      </w:r>
      <w:r w:rsidR="002C04B6">
        <w:t xml:space="preserve"> vergleichbar VS-N</w:t>
      </w:r>
      <w:r w:rsidR="003673E8">
        <w:t>UR FÜR DEN DIENSTGEBRAUCH</w:t>
      </w:r>
    </w:p>
    <w:bookmarkEnd w:id="2"/>
    <w:p w14:paraId="7EC95CD4" w14:textId="77777777" w:rsidR="002C04B6" w:rsidRDefault="002C04B6" w:rsidP="00614FB0"/>
    <w:p w14:paraId="0DFB1F2A" w14:textId="69115F59" w:rsidR="00BE4E58" w:rsidRDefault="002C04B6" w:rsidP="00614FB0">
      <w:r w:rsidRPr="002C04B6">
        <w:t>NATO-VS können zusätzlich zum Geheimhaltungsgrad auch mit Zusatzvermerken (</w:t>
      </w:r>
      <w:r>
        <w:t xml:space="preserve">sog. </w:t>
      </w:r>
      <w:r w:rsidRPr="002C04B6">
        <w:t>Warn-</w:t>
      </w:r>
      <w:r>
        <w:t xml:space="preserve">oder </w:t>
      </w:r>
      <w:r w:rsidRPr="002C04B6">
        <w:t xml:space="preserve">Sperrvermerke) versehen sein. Hierzu zählen auch Schutzworte, </w:t>
      </w:r>
      <w:r>
        <w:t xml:space="preserve">welche </w:t>
      </w:r>
      <w:r w:rsidRPr="002C04B6">
        <w:t xml:space="preserve">zusätzliche </w:t>
      </w:r>
      <w:r>
        <w:t>Weitergabe</w:t>
      </w:r>
      <w:r w:rsidR="00367712">
        <w:t>-</w:t>
      </w:r>
      <w:r>
        <w:t xml:space="preserve"> oder Zugangsbeschränkung für Personen klarstellen. Solche NATO-VS </w:t>
      </w:r>
      <w:r w:rsidRPr="002C04B6">
        <w:t xml:space="preserve">sind </w:t>
      </w:r>
      <w:r>
        <w:t xml:space="preserve">in einer eigenen VS-Registratur zu erfassen und aufzubewahren (sog. </w:t>
      </w:r>
      <w:r w:rsidRPr="002C04B6">
        <w:t>Schutzwortregistratur</w:t>
      </w:r>
      <w:r>
        <w:t xml:space="preserve">) </w:t>
      </w:r>
      <w:r w:rsidR="00367712">
        <w:t xml:space="preserve">und </w:t>
      </w:r>
      <w:r w:rsidRPr="002C04B6">
        <w:t xml:space="preserve">dürfen nur Personen zugänglich gemacht werden, die entsprechend </w:t>
      </w:r>
      <w:r w:rsidR="00FC6315">
        <w:t xml:space="preserve">eine </w:t>
      </w:r>
      <w:r>
        <w:t>Sonderverpflichtung und Belehrung erhalten haben</w:t>
      </w:r>
      <w:r w:rsidR="00BE4E58">
        <w:t>.</w:t>
      </w:r>
    </w:p>
    <w:p w14:paraId="75E74254" w14:textId="45804746" w:rsidR="008C0FCA" w:rsidRPr="00DF7BC8" w:rsidRDefault="008C0FCA" w:rsidP="005031DD">
      <w:pPr>
        <w:pStyle w:val="berschrift3"/>
      </w:pPr>
      <w:bookmarkStart w:id="3" w:name="_Ref101797592"/>
      <w:bookmarkStart w:id="4" w:name="_Hlk75438028"/>
      <w:r w:rsidRPr="00DF7BC8">
        <w:lastRenderedPageBreak/>
        <w:t>Behandlung von NATO</w:t>
      </w:r>
      <w:r w:rsidR="00783139">
        <w:t xml:space="preserve"> </w:t>
      </w:r>
      <w:r w:rsidRPr="00DF7BC8">
        <w:t>VS</w:t>
      </w:r>
      <w:bookmarkEnd w:id="3"/>
    </w:p>
    <w:bookmarkEnd w:id="4"/>
    <w:p w14:paraId="43E899EF" w14:textId="5A83CD18" w:rsidR="002C04B6" w:rsidRDefault="002C04B6" w:rsidP="00614FB0">
      <w:r w:rsidRPr="002C04B6">
        <w:t>Zugang zu NATO</w:t>
      </w:r>
      <w:r w:rsidR="00783139">
        <w:t xml:space="preserve"> </w:t>
      </w:r>
      <w:r w:rsidRPr="002C04B6">
        <w:t xml:space="preserve">VS darf unter strikter Einhaltung des Grundsatzes „Kenntnis nur, wenn nötig“ </w:t>
      </w:r>
      <w:r w:rsidR="00354346">
        <w:t>(</w:t>
      </w:r>
      <w:r w:rsidR="00354346" w:rsidRPr="00354346">
        <w:rPr>
          <w:i/>
        </w:rPr>
        <w:t>Need-to-</w:t>
      </w:r>
      <w:r w:rsidR="00354346">
        <w:rPr>
          <w:i/>
        </w:rPr>
        <w:t>K</w:t>
      </w:r>
      <w:r w:rsidR="00354346" w:rsidRPr="00354346">
        <w:rPr>
          <w:i/>
        </w:rPr>
        <w:t>now</w:t>
      </w:r>
      <w:r w:rsidR="00354346">
        <w:t xml:space="preserve">) </w:t>
      </w:r>
      <w:r w:rsidRPr="002C04B6">
        <w:t xml:space="preserve">gewährt werden und ab dem Geheimhaltungsgrad NATO CONFIDENTIAL nur erhalten, wer nach Maßgabe </w:t>
      </w:r>
      <w:r w:rsidR="00354346">
        <w:t>des GHB und des SÜG</w:t>
      </w:r>
      <w:r w:rsidR="00DE716C">
        <w:t xml:space="preserve"> bis zur</w:t>
      </w:r>
      <w:r w:rsidR="00354346">
        <w:t xml:space="preserve"> </w:t>
      </w:r>
      <w:r w:rsidRPr="002C04B6">
        <w:t xml:space="preserve">Höhe des </w:t>
      </w:r>
      <w:r w:rsidR="00DE716C">
        <w:t xml:space="preserve">vergleichbaren deutschen </w:t>
      </w:r>
      <w:r w:rsidRPr="002C04B6">
        <w:t xml:space="preserve">Geheimhaltungsgrades </w:t>
      </w:r>
      <w:r w:rsidR="00DE716C">
        <w:t xml:space="preserve">(also bei NATO CONFIDENTIAL bis VS-VERTRAULICH und bei NATO SECRET bis GEHEIM) </w:t>
      </w:r>
      <w:r w:rsidRPr="002C04B6">
        <w:t>entsprechend sicherheitsüberprüft und ermächtigt w</w:t>
      </w:r>
      <w:r w:rsidR="00354346">
        <w:t>orden ist.</w:t>
      </w:r>
    </w:p>
    <w:p w14:paraId="4D6644C2" w14:textId="78D3242B" w:rsidR="000B63D6" w:rsidRDefault="000B63D6" w:rsidP="00614FB0">
      <w:r>
        <w:t>Firmen, die Zugang zu NATO</w:t>
      </w:r>
      <w:r w:rsidR="00783139">
        <w:t xml:space="preserve"> </w:t>
      </w:r>
      <w:r>
        <w:t>VS ab dem Geheimhaltungsgrad NATO CONFIDENTIAL benötigen, müssen in das Geheimschutzverfahren des BMW</w:t>
      </w:r>
      <w:r w:rsidR="00367712">
        <w:t>K</w:t>
      </w:r>
      <w:r>
        <w:t xml:space="preserve"> aufgenommen werden und es muss ein Sicherheitsbescheid für den vergleichbaren deutschen Geheimhaltungsgrad vorliegen. Für ausländische Unterauftragnehmer mit Zugang zu N</w:t>
      </w:r>
      <w:r w:rsidR="00367712">
        <w:t xml:space="preserve">ATO CONFIDENTIAL </w:t>
      </w:r>
      <w:r>
        <w:t>oder N</w:t>
      </w:r>
      <w:r w:rsidR="00367712">
        <w:t>ATO SECRET</w:t>
      </w:r>
      <w:r w:rsidR="003B3A6C">
        <w:t xml:space="preserve"> </w:t>
      </w:r>
      <w:r>
        <w:t>ist beim BMW</w:t>
      </w:r>
      <w:r w:rsidR="00367712">
        <w:t>K</w:t>
      </w:r>
      <w:r>
        <w:t xml:space="preserve"> eine </w:t>
      </w:r>
      <w:r w:rsidRPr="000B63D6">
        <w:rPr>
          <w:i/>
        </w:rPr>
        <w:t>NATO Facility</w:t>
      </w:r>
      <w:r w:rsidR="00783139">
        <w:rPr>
          <w:i/>
        </w:rPr>
        <w:t xml:space="preserve"> Security</w:t>
      </w:r>
      <w:r w:rsidRPr="000B63D6">
        <w:rPr>
          <w:i/>
        </w:rPr>
        <w:t xml:space="preserve"> Clearance </w:t>
      </w:r>
      <w:r w:rsidR="00DE716C">
        <w:rPr>
          <w:i/>
        </w:rPr>
        <w:t>Assurance</w:t>
      </w:r>
      <w:r>
        <w:t xml:space="preserve"> einzuholen. </w:t>
      </w:r>
    </w:p>
    <w:p w14:paraId="6768A5A2" w14:textId="3343064E" w:rsidR="00354346" w:rsidRDefault="00354346" w:rsidP="00614FB0">
      <w:r w:rsidRPr="00354346">
        <w:t>Alle Personen, die Zugang zu NATO</w:t>
      </w:r>
      <w:r w:rsidR="00783139">
        <w:t xml:space="preserve"> </w:t>
      </w:r>
      <w:r w:rsidRPr="00354346">
        <w:t xml:space="preserve">VS erhalten beziehungsweise erhalten </w:t>
      </w:r>
      <w:r>
        <w:t>können</w:t>
      </w:r>
      <w:r w:rsidRPr="00354346">
        <w:t xml:space="preserve">, sind regelmäßig </w:t>
      </w:r>
      <w:r>
        <w:t xml:space="preserve">und nachweislich </w:t>
      </w:r>
      <w:r w:rsidRPr="00354346">
        <w:t xml:space="preserve">über ihre Rechte und Pflichten </w:t>
      </w:r>
      <w:r w:rsidR="00DE716C">
        <w:t>im Umgang mit</w:t>
      </w:r>
      <w:r>
        <w:t xml:space="preserve"> NATO</w:t>
      </w:r>
      <w:r w:rsidR="00783139">
        <w:t xml:space="preserve"> </w:t>
      </w:r>
      <w:r>
        <w:t xml:space="preserve">VS </w:t>
      </w:r>
      <w:r w:rsidRPr="00354346">
        <w:t xml:space="preserve">zu unterrichten. </w:t>
      </w:r>
    </w:p>
    <w:p w14:paraId="40288ADD" w14:textId="292029CE" w:rsidR="003A1DB4" w:rsidRDefault="003A1DB4" w:rsidP="00614FB0">
      <w:r>
        <w:t>F</w:t>
      </w:r>
      <w:r w:rsidRPr="003A1DB4">
        <w:t>ür die Behandlung von N</w:t>
      </w:r>
      <w:r w:rsidR="00783139">
        <w:t xml:space="preserve">ATO </w:t>
      </w:r>
      <w:r>
        <w:t>C</w:t>
      </w:r>
      <w:r w:rsidR="00783139">
        <w:t>ONFIDENTIAL</w:t>
      </w:r>
      <w:r>
        <w:t xml:space="preserve"> und N</w:t>
      </w:r>
      <w:r w:rsidR="00783139">
        <w:t xml:space="preserve">ATO </w:t>
      </w:r>
      <w:r>
        <w:t>S</w:t>
      </w:r>
      <w:r w:rsidR="00783139">
        <w:t>ECRET</w:t>
      </w:r>
      <w:r>
        <w:t xml:space="preserve"> </w:t>
      </w:r>
      <w:r w:rsidRPr="003A1DB4">
        <w:t>in Informations- und Kommunikationssystemen (</w:t>
      </w:r>
      <w:r w:rsidRPr="003A1DB4">
        <w:rPr>
          <w:i/>
        </w:rPr>
        <w:t xml:space="preserve">Communication and Information Systems </w:t>
      </w:r>
      <w:r w:rsidR="003B3A6C">
        <w:rPr>
          <w:i/>
        </w:rPr>
        <w:t>-</w:t>
      </w:r>
      <w:r w:rsidRPr="003A1DB4">
        <w:rPr>
          <w:i/>
        </w:rPr>
        <w:t xml:space="preserve"> CIS</w:t>
      </w:r>
      <w:r w:rsidRPr="003A1DB4">
        <w:t xml:space="preserve">) </w:t>
      </w:r>
      <w:r>
        <w:t xml:space="preserve">sowie deren Akkreditierung </w:t>
      </w:r>
      <w:r w:rsidRPr="003A1DB4">
        <w:t>gibt es weitergehende Anforderungen, welche</w:t>
      </w:r>
      <w:r>
        <w:t xml:space="preserve"> u.a. </w:t>
      </w:r>
      <w:r w:rsidR="000B63D6">
        <w:t xml:space="preserve">in der NATO </w:t>
      </w:r>
      <w:r w:rsidR="000B63D6" w:rsidRPr="000B63D6">
        <w:rPr>
          <w:i/>
        </w:rPr>
        <w:t>Management Directive on CIS Security</w:t>
      </w:r>
      <w:r w:rsidR="000B63D6">
        <w:t xml:space="preserve"> (NATO Dokument AC/35-D/2005-REV5) sowie weiteren </w:t>
      </w:r>
      <w:r>
        <w:t>einschlägigen NATO- Infosec Vorschriften</w:t>
      </w:r>
      <w:r w:rsidRPr="000B63D6">
        <w:t xml:space="preserve"> beschrieben sind</w:t>
      </w:r>
      <w:r>
        <w:t xml:space="preserve">. Für weitere Auskünfte stehen </w:t>
      </w:r>
      <w:r w:rsidR="000B63D6">
        <w:t xml:space="preserve">die </w:t>
      </w:r>
      <w:r>
        <w:t>zuständigen Mitarbeiter</w:t>
      </w:r>
      <w:r w:rsidR="002B15D7">
        <w:t>/innen</w:t>
      </w:r>
      <w:r>
        <w:t xml:space="preserve"> des BMW</w:t>
      </w:r>
      <w:r w:rsidR="00783139">
        <w:t>K</w:t>
      </w:r>
      <w:r>
        <w:t xml:space="preserve"> zur Verfügung. </w:t>
      </w:r>
    </w:p>
    <w:p w14:paraId="6E641C5F" w14:textId="46B67489" w:rsidR="000F5DD1" w:rsidRPr="00062F39" w:rsidRDefault="000F5DD1" w:rsidP="005031DD">
      <w:pPr>
        <w:pStyle w:val="berschrift3"/>
      </w:pPr>
      <w:bookmarkStart w:id="5" w:name="_Ref101797606"/>
      <w:r w:rsidRPr="00062F39">
        <w:t>Behandlung von NATO RESTRICTED (NR)</w:t>
      </w:r>
      <w:bookmarkEnd w:id="5"/>
    </w:p>
    <w:p w14:paraId="11A14B6C" w14:textId="12B90E2A" w:rsidR="00F5245C" w:rsidRDefault="000F5DD1" w:rsidP="00614FB0">
      <w:r>
        <w:t>Für den Zugang zu N</w:t>
      </w:r>
      <w:r w:rsidR="00783139">
        <w:t>ATO RESTRICTED</w:t>
      </w:r>
      <w:r>
        <w:t xml:space="preserve"> ist nach den NATO-Vorschriften weder eine Personen- noch eine Firmenüberprüfung erforderlich. Einige NATO-Mitgliedstaaten fordern aber nach ihren nationalen Vorschriften dennoch Clearances für Personal und für Unternehmen mit Zugang zu N</w:t>
      </w:r>
      <w:r w:rsidR="00783139">
        <w:t>ATO RESTRICTED</w:t>
      </w:r>
      <w:r>
        <w:t>. In den einschlägigen NATO-Vorschrif</w:t>
      </w:r>
      <w:r w:rsidR="00ED3794">
        <w:t>t</w:t>
      </w:r>
      <w:r>
        <w:t xml:space="preserve">en wurde aber vereinbart, dass diese Länder </w:t>
      </w:r>
      <w:r w:rsidR="00F5245C">
        <w:t>bei der Auftragsvergabe oder bei Ausschreibungen keine Firmen aus Ländern benachteiligen dürfen, in denen es solche Forderungen nicht gibt.</w:t>
      </w:r>
    </w:p>
    <w:p w14:paraId="73D718B7" w14:textId="064B6BD0" w:rsidR="008C0FCA" w:rsidRDefault="008C0FCA" w:rsidP="00614FB0">
      <w:r>
        <w:t>N</w:t>
      </w:r>
      <w:r w:rsidR="00783139">
        <w:t>ATO RESTRICTED</w:t>
      </w:r>
      <w:r>
        <w:t xml:space="preserve"> müssen in zugang</w:t>
      </w:r>
      <w:r w:rsidR="003A1DB4">
        <w:t>s</w:t>
      </w:r>
      <w:r>
        <w:t>kontrollierten</w:t>
      </w:r>
      <w:r w:rsidR="003A1DB4">
        <w:t xml:space="preserve"> </w:t>
      </w:r>
      <w:r>
        <w:t>Bereichen aufbewahrt und bearbeitet werden (sog</w:t>
      </w:r>
      <w:r w:rsidR="00762AA3">
        <w:t>.</w:t>
      </w:r>
      <w:r>
        <w:t xml:space="preserve"> </w:t>
      </w:r>
      <w:r w:rsidRPr="003A1DB4">
        <w:rPr>
          <w:i/>
        </w:rPr>
        <w:t>Administrative Zones</w:t>
      </w:r>
      <w:r>
        <w:t>).</w:t>
      </w:r>
      <w:r w:rsidR="00783139">
        <w:t xml:space="preserve"> </w:t>
      </w:r>
      <w:r>
        <w:t xml:space="preserve">Für </w:t>
      </w:r>
      <w:r w:rsidR="00783139">
        <w:t xml:space="preserve">NATO RESTRICTED </w:t>
      </w:r>
      <w:r>
        <w:t>gibt es keine Verpflichtung zur Registrierung.</w:t>
      </w:r>
    </w:p>
    <w:p w14:paraId="1DDC2450" w14:textId="0D6003EA" w:rsidR="00354346" w:rsidRPr="00762AA3" w:rsidRDefault="003A1DB4" w:rsidP="00614FB0">
      <w:pPr>
        <w:rPr>
          <w:i/>
        </w:rPr>
      </w:pPr>
      <w:r>
        <w:t>Auch f</w:t>
      </w:r>
      <w:r w:rsidR="000F5DD1" w:rsidRPr="003A1DB4">
        <w:t>ür die Behandlung von NATO</w:t>
      </w:r>
      <w:r w:rsidR="00783139">
        <w:t xml:space="preserve"> </w:t>
      </w:r>
      <w:r w:rsidR="000F5DD1" w:rsidRPr="003A1DB4">
        <w:t xml:space="preserve">RESTRICTED </w:t>
      </w:r>
      <w:r w:rsidR="00ED3794" w:rsidRPr="003A1DB4">
        <w:t>in</w:t>
      </w:r>
      <w:r w:rsidR="000F5DD1" w:rsidRPr="003A1DB4">
        <w:t xml:space="preserve"> Informations-</w:t>
      </w:r>
      <w:r w:rsidR="00ED3794" w:rsidRPr="003A1DB4">
        <w:t xml:space="preserve"> </w:t>
      </w:r>
      <w:r w:rsidR="000F5DD1" w:rsidRPr="003A1DB4">
        <w:t>und Kommunikations</w:t>
      </w:r>
      <w:r w:rsidR="00ED3794" w:rsidRPr="003A1DB4">
        <w:t>s</w:t>
      </w:r>
      <w:r w:rsidR="000F5DD1" w:rsidRPr="003A1DB4">
        <w:t>ystemen (</w:t>
      </w:r>
      <w:r w:rsidR="000F5DD1" w:rsidRPr="003A1DB4">
        <w:rPr>
          <w:i/>
        </w:rPr>
        <w:t xml:space="preserve">Communication and Information Systems </w:t>
      </w:r>
      <w:r w:rsidR="003B3A6C">
        <w:rPr>
          <w:i/>
        </w:rPr>
        <w:t>-</w:t>
      </w:r>
      <w:r w:rsidR="000F5DD1" w:rsidRPr="003A1DB4">
        <w:rPr>
          <w:i/>
        </w:rPr>
        <w:t xml:space="preserve"> CIS</w:t>
      </w:r>
      <w:r w:rsidR="000F5DD1" w:rsidRPr="003A1DB4">
        <w:t xml:space="preserve">) </w:t>
      </w:r>
      <w:r w:rsidRPr="003A1DB4">
        <w:t xml:space="preserve">gibt es </w:t>
      </w:r>
      <w:r w:rsidR="00ED3794" w:rsidRPr="003A1DB4">
        <w:t xml:space="preserve">weitergehende Anforderungen, welche in einem gesonderten Dokument i.d.R. als Anhang zu den Aufträgen oder zu den PSIs für NATO-Projekte beschrieben sind. </w:t>
      </w:r>
      <w:r w:rsidR="00ED3794">
        <w:t>U.a. ist für N</w:t>
      </w:r>
      <w:r w:rsidR="00783139">
        <w:t>ATO RESTRICTED</w:t>
      </w:r>
      <w:r w:rsidR="00ED3794">
        <w:t xml:space="preserve"> CIS eine spezielle Akkreditierung erforderlich, wobei für Unternehmen mit Sitz in Deutschland aber von der Möglichkeit Gebrauch gemacht wurde, diese Akkreditierung auf den </w:t>
      </w:r>
      <w:r w:rsidR="00783139">
        <w:t>VS-</w:t>
      </w:r>
      <w:r w:rsidR="00ED3794">
        <w:t>Auftragnehmer zu delegieren</w:t>
      </w:r>
      <w:r w:rsidR="00762AA3">
        <w:t>. Hierbei</w:t>
      </w:r>
      <w:r w:rsidR="00ED3794">
        <w:t xml:space="preserve"> setzen die Unternehmen die NATO-Anforderungen in eigener Verantwortung</w:t>
      </w:r>
      <w:r w:rsidR="00762AA3">
        <w:t xml:space="preserve"> (</w:t>
      </w:r>
      <w:r w:rsidR="00ED3794">
        <w:t>d.h. ohne Einbindung des BMW</w:t>
      </w:r>
      <w:r w:rsidR="00783139">
        <w:t>K</w:t>
      </w:r>
      <w:r w:rsidR="00762AA3">
        <w:t>)</w:t>
      </w:r>
      <w:r w:rsidR="00ED3794">
        <w:t xml:space="preserve"> um.</w:t>
      </w:r>
      <w:r w:rsidR="00762AA3">
        <w:t xml:space="preserve"> Dem </w:t>
      </w:r>
      <w:r w:rsidR="00783139">
        <w:t>VS-</w:t>
      </w:r>
      <w:r w:rsidR="00762AA3">
        <w:t>Auftraggeber ist auf Verlangen ein Nachweis über die Akkreditierung in Übereinstimmung mit den NATO-Anforderungen vorzulegen (</w:t>
      </w:r>
      <w:r w:rsidR="00762AA3">
        <w:rPr>
          <w:i/>
        </w:rPr>
        <w:t>sog. Statement of Compliance).</w:t>
      </w:r>
    </w:p>
    <w:p w14:paraId="2169C00B" w14:textId="2F01F0CD" w:rsidR="00ED3794" w:rsidRDefault="00ED3794" w:rsidP="00614FB0">
      <w:r>
        <w:t>Für die elektronische Übertragung von N</w:t>
      </w:r>
      <w:r w:rsidR="00783139">
        <w:t>ATO RESTRICTED</w:t>
      </w:r>
      <w:r>
        <w:t xml:space="preserve"> sind Verschlüsselungsprodukte einzusetzen, die dafür von der NATO </w:t>
      </w:r>
      <w:r w:rsidR="00DB109B">
        <w:t>o</w:t>
      </w:r>
      <w:r>
        <w:t xml:space="preserve">der vom BSI </w:t>
      </w:r>
      <w:r w:rsidR="00DB109B">
        <w:t xml:space="preserve">explizit </w:t>
      </w:r>
      <w:r>
        <w:t>zugelassen sind.</w:t>
      </w:r>
    </w:p>
    <w:p w14:paraId="70F93B90" w14:textId="787FC36F" w:rsidR="00ED3794" w:rsidRPr="00062F39" w:rsidRDefault="00ED3794" w:rsidP="005031DD">
      <w:pPr>
        <w:pStyle w:val="berschrift3"/>
      </w:pPr>
      <w:r w:rsidRPr="00062F39">
        <w:lastRenderedPageBreak/>
        <w:t>Behandlung von NATO UNCLASSIFIED (NU)</w:t>
      </w:r>
    </w:p>
    <w:p w14:paraId="246EEDCA" w14:textId="77777777" w:rsidR="002C04B6" w:rsidRDefault="002C04B6" w:rsidP="00614FB0">
      <w:r w:rsidRPr="002C04B6">
        <w:t xml:space="preserve">Nicht </w:t>
      </w:r>
      <w:r>
        <w:t xml:space="preserve">als VS </w:t>
      </w:r>
      <w:r w:rsidRPr="002C04B6">
        <w:t xml:space="preserve">eingestufte NATO-Informationen sind als NATO UNCLASSIFIED (NU) gekennzeichnet. </w:t>
      </w:r>
    </w:p>
    <w:p w14:paraId="4EA51634" w14:textId="4469621F" w:rsidR="002C04B6" w:rsidRDefault="002C04B6" w:rsidP="00614FB0">
      <w:r w:rsidRPr="002C04B6">
        <w:t>Dabei handelt es sich nicht um einen Geheimhaltungsgrad. Dennoch sind solche Informationen</w:t>
      </w:r>
      <w:r>
        <w:t xml:space="preserve"> weder für die Weitergabe an </w:t>
      </w:r>
      <w:r w:rsidR="00783139">
        <w:t>N</w:t>
      </w:r>
      <w:r>
        <w:t>icht-NATO-Staaten oder an</w:t>
      </w:r>
      <w:r w:rsidRPr="002C04B6">
        <w:t xml:space="preserve"> die Öffentlichkeit </w:t>
      </w:r>
      <w:r>
        <w:t>freigegeben, es sei denn hierfür liegt die Genehmigung des NATO-Herausgebers vor</w:t>
      </w:r>
      <w:r w:rsidRPr="002C04B6">
        <w:t xml:space="preserve">. Weitere Informationen </w:t>
      </w:r>
      <w:r>
        <w:t>zur Behandlung von N</w:t>
      </w:r>
      <w:r w:rsidR="00783139">
        <w:t xml:space="preserve">ATO </w:t>
      </w:r>
      <w:r>
        <w:t>U</w:t>
      </w:r>
      <w:r w:rsidR="00783139">
        <w:t>NCLASSIFIED</w:t>
      </w:r>
      <w:r>
        <w:t xml:space="preserve"> </w:t>
      </w:r>
      <w:r w:rsidRPr="002C04B6">
        <w:t xml:space="preserve">sind den </w:t>
      </w:r>
      <w:r>
        <w:t>NATO-</w:t>
      </w:r>
      <w:r w:rsidRPr="002C04B6">
        <w:t xml:space="preserve">Dokumenten C-M(2002)60 und C-M(2007)0118 in ihrer gültigen Fassung </w:t>
      </w:r>
      <w:r>
        <w:t>enthalten.</w:t>
      </w:r>
    </w:p>
    <w:p w14:paraId="2E51AF18" w14:textId="77777777" w:rsidR="000B63D6" w:rsidRPr="000B63D6" w:rsidRDefault="000B63D6" w:rsidP="005031DD">
      <w:pPr>
        <w:pStyle w:val="berschrift2"/>
      </w:pPr>
      <w:r w:rsidRPr="000B63D6">
        <w:t>EU</w:t>
      </w:r>
    </w:p>
    <w:p w14:paraId="0EB6FC45" w14:textId="2B832A70" w:rsidR="005C3FCB" w:rsidRDefault="005C3FCB" w:rsidP="00614FB0">
      <w:r w:rsidRPr="005C3FCB">
        <w:t xml:space="preserve">Die maßgeblichen Bestimmungen zu Austausch, Schutz und Handhabung von </w:t>
      </w:r>
      <w:r>
        <w:t>E</w:t>
      </w:r>
      <w:r w:rsidR="00DB109B">
        <w:t>U</w:t>
      </w:r>
      <w:r w:rsidR="00783139">
        <w:t xml:space="preserve"> </w:t>
      </w:r>
      <w:r w:rsidR="00CD166A">
        <w:t>VS</w:t>
      </w:r>
      <w:r>
        <w:t xml:space="preserve"> sind</w:t>
      </w:r>
      <w:r w:rsidRPr="005C3FCB">
        <w:t xml:space="preserve"> in </w:t>
      </w:r>
      <w:r>
        <w:t>den Geheimschutzvorschriften des Rates (</w:t>
      </w:r>
      <w:r w:rsidRPr="00651EE1">
        <w:rPr>
          <w:i/>
        </w:rPr>
        <w:t>Council Security Regulations</w:t>
      </w:r>
      <w:r>
        <w:t xml:space="preserve"> - Ratsd</w:t>
      </w:r>
      <w:r w:rsidRPr="005C3FCB">
        <w:t xml:space="preserve">okument </w:t>
      </w:r>
      <w:r>
        <w:t xml:space="preserve">2013/488) sowie den Geheimschutzvorschriften der Europäischen Kommission </w:t>
      </w:r>
      <w:r w:rsidRPr="00651EE1">
        <w:rPr>
          <w:i/>
        </w:rPr>
        <w:t>(Commission security rules for protectin</w:t>
      </w:r>
      <w:r w:rsidR="00783139">
        <w:rPr>
          <w:i/>
        </w:rPr>
        <w:t>g</w:t>
      </w:r>
      <w:r w:rsidRPr="00651EE1">
        <w:rPr>
          <w:i/>
        </w:rPr>
        <w:t xml:space="preserve"> EU classified information</w:t>
      </w:r>
      <w:r>
        <w:t xml:space="preserve"> - Kommissionsent</w:t>
      </w:r>
      <w:r w:rsidR="004D6E04">
        <w:t>s</w:t>
      </w:r>
      <w:r>
        <w:t xml:space="preserve">cheidung 2015/444) sowie den </w:t>
      </w:r>
      <w:r w:rsidRPr="005C3FCB">
        <w:t xml:space="preserve">jeweiligen Implementierungsvorschriften in dessen gültigen Fassungen festgeschrieben. </w:t>
      </w:r>
    </w:p>
    <w:p w14:paraId="1CF8A0A9" w14:textId="4FB332B8" w:rsidR="00651EE1" w:rsidRDefault="005C3FCB" w:rsidP="00614FB0">
      <w:r w:rsidRPr="005C3FCB">
        <w:t xml:space="preserve">Diese Bestimmungen </w:t>
      </w:r>
      <w:r w:rsidR="00651EE1">
        <w:t>finden in der Bundesrepublik Deu</w:t>
      </w:r>
      <w:r w:rsidR="00146719">
        <w:t>t</w:t>
      </w:r>
      <w:r w:rsidR="00651EE1">
        <w:t>schland aber keine unmittelbare Anwendung. Die EU-Mitgliedstaate</w:t>
      </w:r>
      <w:r w:rsidR="00750DBC">
        <w:t>n</w:t>
      </w:r>
      <w:r w:rsidR="00651EE1">
        <w:t xml:space="preserve"> sind </w:t>
      </w:r>
      <w:r w:rsidR="00783139">
        <w:t xml:space="preserve">jedoch </w:t>
      </w:r>
      <w:r w:rsidR="00651EE1">
        <w:t>gehalten</w:t>
      </w:r>
      <w:r w:rsidR="00783139">
        <w:t>,</w:t>
      </w:r>
      <w:r w:rsidR="00651EE1">
        <w:t xml:space="preserve"> diese Vorschriften zu respektieren um ein gleichwertiges Schutzniveau für EU</w:t>
      </w:r>
      <w:r w:rsidR="00783139">
        <w:t xml:space="preserve"> </w:t>
      </w:r>
      <w:r w:rsidR="00651EE1">
        <w:t xml:space="preserve">VS in den Mitgliedstaaten zu gewährleisten. Dies ist vor allem für Unternehmen wichtig, damit diese ihre vertraglichen Verpflichtungen (z.B. hinsichtlich des Einsatzes von sicherheitsüberprüftem Personal, dem Vorliegen oder der Durchführung von VS-Transporten) erfüllen können. </w:t>
      </w:r>
    </w:p>
    <w:p w14:paraId="093832B6" w14:textId="417BDAC7" w:rsidR="000B63D6" w:rsidRPr="002654F5" w:rsidRDefault="005C3FCB" w:rsidP="00614FB0">
      <w:r w:rsidRPr="002654F5">
        <w:t xml:space="preserve">Unternehmen </w:t>
      </w:r>
      <w:r w:rsidR="00651EE1" w:rsidRPr="002654F5">
        <w:t xml:space="preserve">werden aber i.d.R. vertraglich auf die Einhaltung der Sicherheitsvorschriften </w:t>
      </w:r>
      <w:r w:rsidR="00783139">
        <w:t>des</w:t>
      </w:r>
      <w:r w:rsidR="00783139" w:rsidRPr="002654F5">
        <w:t xml:space="preserve"> </w:t>
      </w:r>
      <w:r w:rsidR="00651EE1" w:rsidRPr="002654F5">
        <w:t xml:space="preserve">Rates oder der Kommission bzw. der jeweiligen </w:t>
      </w:r>
      <w:r w:rsidR="00750DBC">
        <w:t>p</w:t>
      </w:r>
      <w:r w:rsidR="00651EE1" w:rsidRPr="002654F5">
        <w:t>rojektspezifischen Sicherheitsvereinbarungen (PSI) verpflichtet. So bilden die Sicherheitsvorschriften der Kommission die Grundlage für den Schutz</w:t>
      </w:r>
      <w:r w:rsidR="004D6E04" w:rsidRPr="002654F5">
        <w:t xml:space="preserve"> von EU</w:t>
      </w:r>
      <w:r w:rsidR="00827BBD">
        <w:t xml:space="preserve"> </w:t>
      </w:r>
      <w:r w:rsidR="004D6E04" w:rsidRPr="002654F5">
        <w:t xml:space="preserve">VS, z.B. </w:t>
      </w:r>
      <w:r w:rsidR="00651EE1" w:rsidRPr="002654F5">
        <w:t>im</w:t>
      </w:r>
      <w:r w:rsidR="005450AA" w:rsidRPr="002654F5">
        <w:t xml:space="preserve"> R</w:t>
      </w:r>
      <w:r w:rsidR="00651EE1" w:rsidRPr="002654F5">
        <w:t>ahmen von GNSS (Galileo), den Sicherheit</w:t>
      </w:r>
      <w:r w:rsidR="004D6E04" w:rsidRPr="002654F5">
        <w:t>s</w:t>
      </w:r>
      <w:r w:rsidR="00651EE1" w:rsidRPr="002654F5">
        <w:t xml:space="preserve">forschungsprojekten im Rahmen HORIZON 2020 oder den Projekten im Rahmen des Europäischen Verteidigungsfonds (EDF). </w:t>
      </w:r>
    </w:p>
    <w:p w14:paraId="4BFE3640" w14:textId="7627688D" w:rsidR="004D6E04" w:rsidRPr="00062F39" w:rsidRDefault="004D6E04" w:rsidP="005031DD">
      <w:pPr>
        <w:pStyle w:val="berschrift3"/>
      </w:pPr>
      <w:r w:rsidRPr="00062F39">
        <w:t>EU-Geheimhaltungsgrade</w:t>
      </w:r>
    </w:p>
    <w:p w14:paraId="72740FB0" w14:textId="0EC62ABB" w:rsidR="004D6E04" w:rsidRPr="004D6E04" w:rsidRDefault="004D6E04" w:rsidP="009F176B">
      <w:r>
        <w:t xml:space="preserve">TRES SECRET UE/EU </w:t>
      </w:r>
      <w:r w:rsidRPr="004D6E04">
        <w:t>TOP SECRET</w:t>
      </w:r>
      <w:r w:rsidR="00336675">
        <w:t xml:space="preserve"> </w:t>
      </w:r>
      <w:r w:rsidR="00336675" w:rsidRPr="00336675">
        <w:t>(TS-UE/EU-TS)</w:t>
      </w:r>
      <w:r w:rsidRPr="004D6E04">
        <w:t xml:space="preserve"> </w:t>
      </w:r>
      <w:r w:rsidR="003B3A6C">
        <w:t>-</w:t>
      </w:r>
      <w:r w:rsidRPr="004D6E04">
        <w:t xml:space="preserve"> vergleichbar STRENG GEHEIM</w:t>
      </w:r>
    </w:p>
    <w:p w14:paraId="698AB5FE" w14:textId="6FC25471" w:rsidR="004D6E04" w:rsidRPr="004D6E04" w:rsidRDefault="004D6E04" w:rsidP="009F176B">
      <w:r>
        <w:t>SECRET UE/EU</w:t>
      </w:r>
      <w:r w:rsidRPr="004D6E04">
        <w:t xml:space="preserve"> SECRET</w:t>
      </w:r>
      <w:r>
        <w:t xml:space="preserve"> (S-UE/EU-S)</w:t>
      </w:r>
      <w:r w:rsidR="003B3A6C">
        <w:t xml:space="preserve"> </w:t>
      </w:r>
      <w:r w:rsidRPr="004D6E04">
        <w:t>- vergleichbar GEHEIM</w:t>
      </w:r>
    </w:p>
    <w:p w14:paraId="0974B036" w14:textId="49D1B8BE" w:rsidR="004D6E04" w:rsidRPr="004D6E04" w:rsidRDefault="004D6E04" w:rsidP="009F176B">
      <w:r>
        <w:t xml:space="preserve">CONFIDENTIEL UE/EU </w:t>
      </w:r>
      <w:r w:rsidRPr="004D6E04">
        <w:t xml:space="preserve">CONFIDENTIAL </w:t>
      </w:r>
      <w:r>
        <w:t>(C-UE/EU-C)</w:t>
      </w:r>
      <w:r w:rsidR="009F176B">
        <w:t xml:space="preserve"> </w:t>
      </w:r>
      <w:r w:rsidRPr="004D6E04">
        <w:t>- vergleichbar VS-VERTRAULICH</w:t>
      </w:r>
    </w:p>
    <w:p w14:paraId="5C98C069" w14:textId="25976CF6" w:rsidR="004D6E04" w:rsidRDefault="004D6E04" w:rsidP="009F176B">
      <w:r>
        <w:t>RESTREINT UE/EU</w:t>
      </w:r>
      <w:r w:rsidRPr="004D6E04">
        <w:t xml:space="preserve"> RESTRICTED </w:t>
      </w:r>
      <w:r>
        <w:t>(R-UE/EU-R)</w:t>
      </w:r>
      <w:r w:rsidR="003B3A6C">
        <w:t xml:space="preserve"> -</w:t>
      </w:r>
      <w:r w:rsidRPr="004D6E04">
        <w:t xml:space="preserve"> vergleichbar VS-</w:t>
      </w:r>
      <w:r w:rsidR="00750DBC">
        <w:t>NUR FÜR DEN DIENSTGEBRAUCH</w:t>
      </w:r>
    </w:p>
    <w:p w14:paraId="704F88F4" w14:textId="63345D3A" w:rsidR="004D6E04" w:rsidRPr="00062F39" w:rsidRDefault="004D6E04" w:rsidP="005031DD">
      <w:pPr>
        <w:pStyle w:val="berschrift3"/>
      </w:pPr>
      <w:r w:rsidRPr="00062F39">
        <w:t>Behandlung von EU-VS</w:t>
      </w:r>
    </w:p>
    <w:p w14:paraId="3645E177" w14:textId="4E486765" w:rsidR="00D6061E" w:rsidRPr="00D6061E" w:rsidRDefault="00D6061E" w:rsidP="00D6061E">
      <w:r w:rsidRPr="00D6061E">
        <w:t>EU</w:t>
      </w:r>
      <w:r w:rsidR="00750DBC">
        <w:t xml:space="preserve"> </w:t>
      </w:r>
      <w:r w:rsidRPr="00D6061E">
        <w:t xml:space="preserve">VS des Rates der Europäischen Union, die vor dem 15. Oktober 2013 </w:t>
      </w:r>
      <w:r>
        <w:t xml:space="preserve">(Veröffentlichung der Sicherheitsvorschriften des Rates) sowie </w:t>
      </w:r>
      <w:r w:rsidRPr="00D6061E">
        <w:t>EU</w:t>
      </w:r>
      <w:r w:rsidR="00750DBC">
        <w:t xml:space="preserve"> </w:t>
      </w:r>
      <w:r w:rsidRPr="00D6061E">
        <w:t xml:space="preserve">VS der Europäischen Kommission, die vor dem 18. März 2015 entstanden sind, tragen lediglich französischsprachige </w:t>
      </w:r>
      <w:r w:rsidR="0092179E">
        <w:t>Kennzeichnung</w:t>
      </w:r>
      <w:r w:rsidRPr="00D6061E">
        <w:t xml:space="preserve">en. </w:t>
      </w:r>
      <w:r>
        <w:t xml:space="preserve">Solche </w:t>
      </w:r>
      <w:r w:rsidRPr="00D6061E">
        <w:t>EU</w:t>
      </w:r>
      <w:r w:rsidR="00750DBC">
        <w:t xml:space="preserve"> </w:t>
      </w:r>
      <w:r w:rsidRPr="00D6061E">
        <w:t xml:space="preserve">VS gelten </w:t>
      </w:r>
      <w:r>
        <w:t xml:space="preserve">aber </w:t>
      </w:r>
      <w:r w:rsidRPr="00D6061E">
        <w:t xml:space="preserve">dennoch als </w:t>
      </w:r>
      <w:r>
        <w:t xml:space="preserve">korrekt </w:t>
      </w:r>
      <w:r w:rsidRPr="00D6061E">
        <w:t>gekennzeichnet und sind dementsprechend zu behandeln.</w:t>
      </w:r>
    </w:p>
    <w:p w14:paraId="31E77091" w14:textId="6018F842" w:rsidR="00D6061E" w:rsidRDefault="00D6061E" w:rsidP="00D6061E">
      <w:r w:rsidRPr="00D6061E">
        <w:t xml:space="preserve">Einige Agenturen des Rates und der Kommission verwenden nach wie vor </w:t>
      </w:r>
      <w:r w:rsidR="002B26F0">
        <w:t>Kennzeichnung</w:t>
      </w:r>
      <w:r w:rsidRPr="00D6061E">
        <w:t xml:space="preserve">en, die von den offiziellen </w:t>
      </w:r>
      <w:r>
        <w:t xml:space="preserve">VS-Kennzeichnungen des Rates und der </w:t>
      </w:r>
      <w:r>
        <w:lastRenderedPageBreak/>
        <w:t xml:space="preserve">Kommission </w:t>
      </w:r>
      <w:r w:rsidRPr="00D6061E">
        <w:t>abweichen. In Zweifelsfällen ist beim B</w:t>
      </w:r>
      <w:r>
        <w:t>MW</w:t>
      </w:r>
      <w:r w:rsidR="00750DBC">
        <w:t>K</w:t>
      </w:r>
      <w:r>
        <w:t xml:space="preserve"> </w:t>
      </w:r>
      <w:r w:rsidRPr="00D6061E">
        <w:t xml:space="preserve">die Gültigkeit solcher </w:t>
      </w:r>
      <w:r w:rsidR="002B26F0">
        <w:t>Kennzeichnung</w:t>
      </w:r>
      <w:r w:rsidRPr="00D6061E">
        <w:t>en zu erfragen.</w:t>
      </w:r>
    </w:p>
    <w:p w14:paraId="16D63874" w14:textId="40C77ACB" w:rsidR="004D6E04" w:rsidRDefault="004D6E04" w:rsidP="004D6E04">
      <w:r>
        <w:t>Auch für die Behandlung von EU</w:t>
      </w:r>
      <w:r w:rsidR="00750DBC">
        <w:t xml:space="preserve"> </w:t>
      </w:r>
      <w:r>
        <w:t>VS g</w:t>
      </w:r>
      <w:r w:rsidR="002654F5">
        <w:t xml:space="preserve">elten </w:t>
      </w:r>
      <w:r>
        <w:t xml:space="preserve">die Hinweise </w:t>
      </w:r>
      <w:r w:rsidR="002654F5">
        <w:t>für die Behandlung von NATO</w:t>
      </w:r>
      <w:r w:rsidR="00062F39">
        <w:t xml:space="preserve"> V</w:t>
      </w:r>
      <w:r w:rsidR="002654F5">
        <w:t xml:space="preserve">S </w:t>
      </w:r>
      <w:r>
        <w:t xml:space="preserve">unter </w:t>
      </w:r>
      <w:r w:rsidR="00DB109B">
        <w:t xml:space="preserve">den </w:t>
      </w:r>
      <w:r>
        <w:t>Abschnitt</w:t>
      </w:r>
      <w:r w:rsidR="00DB109B">
        <w:t>en</w:t>
      </w:r>
      <w:r w:rsidR="00750DBC">
        <w:t xml:space="preserve"> </w:t>
      </w:r>
      <w:r w:rsidR="00750DBC">
        <w:fldChar w:fldCharType="begin"/>
      </w:r>
      <w:r w:rsidR="00750DBC">
        <w:instrText xml:space="preserve"> REF _Ref101797592 \r \h </w:instrText>
      </w:r>
      <w:r w:rsidR="00750DBC">
        <w:fldChar w:fldCharType="separate"/>
      </w:r>
      <w:r w:rsidR="005671E5">
        <w:t>4.b)</w:t>
      </w:r>
      <w:r w:rsidR="00750DBC">
        <w:fldChar w:fldCharType="end"/>
      </w:r>
      <w:r w:rsidR="00062F39">
        <w:t xml:space="preserve"> und</w:t>
      </w:r>
      <w:r>
        <w:t xml:space="preserve"> </w:t>
      </w:r>
      <w:r w:rsidR="00750DBC">
        <w:fldChar w:fldCharType="begin"/>
      </w:r>
      <w:r w:rsidR="00750DBC">
        <w:instrText xml:space="preserve"> REF _Ref101797606 \r \h </w:instrText>
      </w:r>
      <w:r w:rsidR="00750DBC">
        <w:fldChar w:fldCharType="separate"/>
      </w:r>
      <w:r w:rsidR="00750DBC">
        <w:t>4.c)</w:t>
      </w:r>
      <w:r w:rsidR="00750DBC">
        <w:fldChar w:fldCharType="end"/>
      </w:r>
      <w:r w:rsidR="00DB109B">
        <w:t xml:space="preserve"> </w:t>
      </w:r>
      <w:r w:rsidR="002654F5">
        <w:t xml:space="preserve">im </w:t>
      </w:r>
      <w:r w:rsidR="002654F5" w:rsidRPr="002654F5">
        <w:t>Wesentlichen</w:t>
      </w:r>
      <w:r w:rsidR="002654F5">
        <w:t xml:space="preserve"> analog.</w:t>
      </w:r>
    </w:p>
    <w:p w14:paraId="33408273" w14:textId="712FE876" w:rsidR="002654F5" w:rsidRDefault="00DB109B" w:rsidP="004D6E04">
      <w:r w:rsidRPr="00DB109B">
        <w:t xml:space="preserve">Für die elektronische Übertragung von </w:t>
      </w:r>
      <w:r>
        <w:t>RESTREINT UE/EU RESTRIC</w:t>
      </w:r>
      <w:r w:rsidR="00FC6315">
        <w:t>T</w:t>
      </w:r>
      <w:r>
        <w:t>ED</w:t>
      </w:r>
      <w:r w:rsidRPr="00DB109B">
        <w:t xml:space="preserve"> sind Verschlüsselungsprodukte einzusetzen, die dafür vo</w:t>
      </w:r>
      <w:r>
        <w:t>m Sicherheitsausschuss des Rates explizit</w:t>
      </w:r>
      <w:r w:rsidRPr="00DB109B">
        <w:t xml:space="preserve"> zugelassen sind.</w:t>
      </w:r>
    </w:p>
    <w:p w14:paraId="43B14188" w14:textId="6680D471" w:rsidR="00146719" w:rsidRDefault="00D6061E" w:rsidP="004D6E04">
      <w:r w:rsidRPr="00D6061E">
        <w:t xml:space="preserve">Nicht </w:t>
      </w:r>
      <w:r>
        <w:t xml:space="preserve">als VS </w:t>
      </w:r>
      <w:r w:rsidRPr="00D6061E">
        <w:t xml:space="preserve">eingestufte </w:t>
      </w:r>
      <w:r>
        <w:t xml:space="preserve">oder markierte </w:t>
      </w:r>
      <w:r w:rsidRPr="00D6061E">
        <w:t xml:space="preserve">Dokumente und Informationen der EU sind grundsätzlich nicht </w:t>
      </w:r>
      <w:r>
        <w:t>ohne Zustimmung des Herausgeber</w:t>
      </w:r>
      <w:r w:rsidR="00750DBC">
        <w:t>s</w:t>
      </w:r>
      <w:r>
        <w:t xml:space="preserve"> für die Weitergabe an die </w:t>
      </w:r>
      <w:r w:rsidRPr="00D6061E">
        <w:t xml:space="preserve">Öffentlichkeit </w:t>
      </w:r>
      <w:r>
        <w:t xml:space="preserve">zugelassen. Dokumente (z.B. des Rates) können </w:t>
      </w:r>
      <w:r w:rsidRPr="00D6061E">
        <w:t>die Kennzeichnung LIMITE tragen. Dabei handelt es sich nicht um einen weiteren Geheimhaltungsgrad, sondern um eine Verbreitungsbeschränkung</w:t>
      </w:r>
      <w:r>
        <w:t>. Informationen mit der Kennzeichnung LIMITE sind auf vertraglicher Basis nach den Vorgaben des EU-Auftraggebers zu behandeln.</w:t>
      </w:r>
      <w:r w:rsidR="00062F39">
        <w:t xml:space="preserve"> Gleiches</w:t>
      </w:r>
      <w:r w:rsidR="00146719">
        <w:t xml:space="preserve"> gilt für von der E</w:t>
      </w:r>
      <w:r w:rsidR="00750DBC">
        <w:t xml:space="preserve">uropäischen </w:t>
      </w:r>
      <w:r w:rsidR="00146719">
        <w:t>Kommission zur Verfügung gestellte Informationen mit Kennzeichnungen</w:t>
      </w:r>
      <w:r w:rsidR="00DF119D">
        <w:t>, wie z.B. „SENSITIVE (NON CLASSIFIED)</w:t>
      </w:r>
      <w:r w:rsidR="00FC6315">
        <w:t>“</w:t>
      </w:r>
      <w:r w:rsidR="00DF119D">
        <w:t xml:space="preserve"> oder „SPECIAL HANDLING“</w:t>
      </w:r>
      <w:r w:rsidR="00146719">
        <w:t>.</w:t>
      </w:r>
    </w:p>
    <w:p w14:paraId="69723F45" w14:textId="77777777" w:rsidR="000B63D6" w:rsidRDefault="00D6061E" w:rsidP="005031DD">
      <w:pPr>
        <w:pStyle w:val="berschrift2"/>
      </w:pPr>
      <w:r>
        <w:t xml:space="preserve">Europäische Raumfahrtagentur </w:t>
      </w:r>
      <w:r w:rsidR="00C00C4E" w:rsidRPr="00482350">
        <w:t>ESA</w:t>
      </w:r>
    </w:p>
    <w:p w14:paraId="09CCDE9F" w14:textId="132BAA68" w:rsidR="00A6426E" w:rsidRDefault="00146719" w:rsidP="00DB109B">
      <w:r w:rsidRPr="00146719">
        <w:t xml:space="preserve">Die Europäische Weltraumagentur ist keine Agentur der Europäischen Union. Sie verfügt als eigenständige internationale Organisation über eigene Regeln zur Handhabung </w:t>
      </w:r>
      <w:r w:rsidR="002C1EBF">
        <w:t xml:space="preserve">ihrer VS, die in den Sicherheitsvorschriften der </w:t>
      </w:r>
      <w:r w:rsidRPr="00146719">
        <w:t>ESA</w:t>
      </w:r>
      <w:r w:rsidR="002C1EBF">
        <w:t xml:space="preserve"> (</w:t>
      </w:r>
      <w:r>
        <w:t>ESA Security Regulations)</w:t>
      </w:r>
      <w:r w:rsidR="002C1EBF">
        <w:t xml:space="preserve"> beschrieben sind</w:t>
      </w:r>
      <w:r w:rsidRPr="00146719">
        <w:t xml:space="preserve">. </w:t>
      </w:r>
    </w:p>
    <w:p w14:paraId="13852E4A" w14:textId="77777777" w:rsidR="00146719" w:rsidRDefault="00146719" w:rsidP="00DB109B">
      <w:r w:rsidRPr="00146719">
        <w:t xml:space="preserve">Nach den Bestimmungen des Geheimschutzabkommens der ESA mit ihren Mitgliedstaaten von 2003 ist Deutschland verpflichtet, die Mindeststandards der ESA Geheimschutzvorschriften zu beachten. Diese Mindeststandards werden </w:t>
      </w:r>
      <w:r>
        <w:t xml:space="preserve">im Wesentlichen </w:t>
      </w:r>
      <w:r w:rsidRPr="00146719">
        <w:t xml:space="preserve">durch </w:t>
      </w:r>
      <w:r>
        <w:t>das GHB erfüllt.</w:t>
      </w:r>
      <w:r w:rsidRPr="00146719">
        <w:t xml:space="preserve"> </w:t>
      </w:r>
    </w:p>
    <w:p w14:paraId="774D8D05" w14:textId="4809089F" w:rsidR="00146719" w:rsidRDefault="00146719" w:rsidP="00DB109B">
      <w:r>
        <w:t xml:space="preserve">Allerdings werden </w:t>
      </w:r>
      <w:r w:rsidRPr="00146719">
        <w:t xml:space="preserve">Unternehmen i.d.R. </w:t>
      </w:r>
      <w:r>
        <w:t xml:space="preserve">auch von der ESA </w:t>
      </w:r>
      <w:r w:rsidRPr="00146719">
        <w:t xml:space="preserve">vertraglich auf die Einhaltung der </w:t>
      </w:r>
      <w:r>
        <w:t>ESA-</w:t>
      </w:r>
      <w:r w:rsidRPr="00146719">
        <w:t xml:space="preserve">Sicherheitsvorschriften </w:t>
      </w:r>
      <w:r>
        <w:t xml:space="preserve">bzw. </w:t>
      </w:r>
      <w:r w:rsidRPr="00146719">
        <w:t xml:space="preserve">der jeweiligen </w:t>
      </w:r>
      <w:r w:rsidR="00750DBC">
        <w:t>p</w:t>
      </w:r>
      <w:r w:rsidRPr="00146719">
        <w:t>rojektspezifischen Sicherheitsvereinbarungen (PSI) verpflichtet</w:t>
      </w:r>
      <w:r>
        <w:t>.</w:t>
      </w:r>
    </w:p>
    <w:p w14:paraId="427BF5AB" w14:textId="2707142E" w:rsidR="00762AA3" w:rsidRDefault="00B338B7">
      <w:pPr>
        <w:rPr>
          <w:b/>
        </w:rPr>
      </w:pPr>
      <w:r w:rsidRPr="00B338B7">
        <w:t>Ansonsten gelten auch die Hinweise für die Behandlung von NATO</w:t>
      </w:r>
      <w:r w:rsidR="00750DBC">
        <w:t xml:space="preserve"> </w:t>
      </w:r>
      <w:r w:rsidRPr="00B338B7">
        <w:t xml:space="preserve">VS unter den Abschnitten </w:t>
      </w:r>
      <w:r w:rsidR="00750DBC">
        <w:fldChar w:fldCharType="begin"/>
      </w:r>
      <w:r w:rsidR="00750DBC">
        <w:instrText xml:space="preserve"> REF _Ref101797592 \r \h </w:instrText>
      </w:r>
      <w:r w:rsidR="00750DBC">
        <w:fldChar w:fldCharType="separate"/>
      </w:r>
      <w:r w:rsidR="00750DBC">
        <w:t>4.b)</w:t>
      </w:r>
      <w:r w:rsidR="00750DBC">
        <w:fldChar w:fldCharType="end"/>
      </w:r>
      <w:r w:rsidR="00750DBC">
        <w:t xml:space="preserve"> und </w:t>
      </w:r>
      <w:r w:rsidR="00750DBC">
        <w:fldChar w:fldCharType="begin"/>
      </w:r>
      <w:r w:rsidR="00750DBC">
        <w:instrText xml:space="preserve"> REF _Ref101797606 \r \h </w:instrText>
      </w:r>
      <w:r w:rsidR="00750DBC">
        <w:fldChar w:fldCharType="separate"/>
      </w:r>
      <w:r w:rsidR="00750DBC">
        <w:t>4.c)</w:t>
      </w:r>
      <w:r w:rsidR="00750DBC">
        <w:fldChar w:fldCharType="end"/>
      </w:r>
      <w:r w:rsidRPr="00B338B7">
        <w:t xml:space="preserve"> im Wesentlichen analog.</w:t>
      </w:r>
    </w:p>
    <w:p w14:paraId="169228B5" w14:textId="45E377E9" w:rsidR="00B338B7" w:rsidRPr="00762AA3" w:rsidRDefault="00B338B7" w:rsidP="005031DD">
      <w:pPr>
        <w:spacing w:before="240" w:after="240"/>
        <w:rPr>
          <w:b/>
        </w:rPr>
      </w:pPr>
      <w:r w:rsidRPr="00762AA3">
        <w:rPr>
          <w:b/>
        </w:rPr>
        <w:t>ESA-Geheimhaltungsgrade</w:t>
      </w:r>
    </w:p>
    <w:p w14:paraId="00306F9D" w14:textId="6FFD8594" w:rsidR="00B338B7" w:rsidRPr="00762AA3" w:rsidRDefault="00A6426E" w:rsidP="00B338B7">
      <w:r w:rsidRPr="00762AA3">
        <w:t>ESA</w:t>
      </w:r>
      <w:r w:rsidR="00D94C19">
        <w:t xml:space="preserve"> </w:t>
      </w:r>
      <w:r w:rsidR="00B338B7" w:rsidRPr="00762AA3">
        <w:t xml:space="preserve">TOP SECRET </w:t>
      </w:r>
      <w:r w:rsidR="003B3A6C">
        <w:t>-</w:t>
      </w:r>
      <w:r w:rsidR="00B338B7" w:rsidRPr="00762AA3">
        <w:t xml:space="preserve"> vergleichbar STRENG GEHEIM</w:t>
      </w:r>
    </w:p>
    <w:p w14:paraId="5D3694ED" w14:textId="457549AB" w:rsidR="00B338B7" w:rsidRPr="00762AA3" w:rsidRDefault="00A6426E" w:rsidP="00B338B7">
      <w:r w:rsidRPr="00762AA3">
        <w:t xml:space="preserve">ESA </w:t>
      </w:r>
      <w:r w:rsidR="00B338B7" w:rsidRPr="00762AA3">
        <w:t>SECRET - vergleichbar GEHEIM</w:t>
      </w:r>
    </w:p>
    <w:p w14:paraId="11FC3F77" w14:textId="3F980421" w:rsidR="00B338B7" w:rsidRPr="00762AA3" w:rsidRDefault="00A6426E" w:rsidP="00B338B7">
      <w:r w:rsidRPr="00762AA3">
        <w:t>ESA</w:t>
      </w:r>
      <w:r w:rsidR="00750DBC">
        <w:t xml:space="preserve"> </w:t>
      </w:r>
      <w:r w:rsidR="00B338B7" w:rsidRPr="00762AA3">
        <w:t xml:space="preserve">CONFIDENTIAL </w:t>
      </w:r>
      <w:r w:rsidR="002762C3" w:rsidRPr="00762AA3">
        <w:t xml:space="preserve">- </w:t>
      </w:r>
      <w:r w:rsidR="00B338B7" w:rsidRPr="00762AA3">
        <w:t>vergleichbar VS-VERTRAULICH</w:t>
      </w:r>
    </w:p>
    <w:p w14:paraId="6BE034AA" w14:textId="559DF5F6" w:rsidR="00762AA3" w:rsidRPr="00D6061E" w:rsidRDefault="00A6426E">
      <w:r w:rsidRPr="00762AA3">
        <w:t>ESA</w:t>
      </w:r>
      <w:r w:rsidR="00B338B7" w:rsidRPr="00762AA3">
        <w:t xml:space="preserve"> RESTRICTED</w:t>
      </w:r>
      <w:r w:rsidR="003B3A6C">
        <w:t xml:space="preserve"> -</w:t>
      </w:r>
      <w:r w:rsidR="00B338B7" w:rsidRPr="00762AA3">
        <w:t xml:space="preserve"> vergleichbar VS-N</w:t>
      </w:r>
      <w:r w:rsidR="00750DBC">
        <w:t>UR FÜR DEN DIENSTGEBRAUCH</w:t>
      </w:r>
    </w:p>
    <w:p w14:paraId="56704267" w14:textId="40E73E8C" w:rsidR="00482350" w:rsidRPr="00A73098" w:rsidRDefault="002762C3" w:rsidP="005031DD">
      <w:pPr>
        <w:pStyle w:val="berschrift2"/>
        <w:rPr>
          <w:lang w:val="en-GB"/>
        </w:rPr>
      </w:pPr>
      <w:r w:rsidRPr="00A73098">
        <w:rPr>
          <w:lang w:val="en-GB"/>
        </w:rPr>
        <w:t>Organisation Conjointe de Coopération en Matière d´Armement (</w:t>
      </w:r>
      <w:r w:rsidR="00482350" w:rsidRPr="00A73098">
        <w:rPr>
          <w:lang w:val="en-GB"/>
        </w:rPr>
        <w:t>OCCAR</w:t>
      </w:r>
      <w:r w:rsidR="0051006B">
        <w:rPr>
          <w:lang w:val="en-GB"/>
        </w:rPr>
        <w:t>)</w:t>
      </w:r>
    </w:p>
    <w:p w14:paraId="14470183" w14:textId="661A7BFE" w:rsidR="002762C3" w:rsidRDefault="002762C3" w:rsidP="002762C3">
      <w:r w:rsidRPr="002762C3">
        <w:t>Die OCCAR ist keine Agentur der Europäischen Union. Sie verfügt als eigenständige internationale Organisation über eigene Regeln zur</w:t>
      </w:r>
      <w:r>
        <w:t xml:space="preserve"> </w:t>
      </w:r>
      <w:r w:rsidRPr="002762C3">
        <w:t>Handhabung</w:t>
      </w:r>
      <w:r>
        <w:t xml:space="preserve"> von </w:t>
      </w:r>
      <w:r w:rsidR="00CD166A">
        <w:t>VS</w:t>
      </w:r>
      <w:r>
        <w:t>, die im Rahmen von Aufträgen durch die OCCAR</w:t>
      </w:r>
      <w:r w:rsidR="008B7D09">
        <w:t xml:space="preserve"> </w:t>
      </w:r>
      <w:r>
        <w:t>Verwaltung (</w:t>
      </w:r>
      <w:r w:rsidRPr="00762AA3">
        <w:rPr>
          <w:i/>
        </w:rPr>
        <w:t>OCCAR Executive Agency- OCCAR-EA</w:t>
      </w:r>
      <w:r>
        <w:t>) im Rahmen von OCCAR Programmen erstellt werden (</w:t>
      </w:r>
      <w:r w:rsidRPr="002762C3">
        <w:t>OCCAR</w:t>
      </w:r>
      <w:r w:rsidR="008B7D09">
        <w:t xml:space="preserve"> </w:t>
      </w:r>
      <w:r w:rsidRPr="002762C3">
        <w:t>VS</w:t>
      </w:r>
      <w:r>
        <w:t>)</w:t>
      </w:r>
      <w:r w:rsidRPr="002762C3">
        <w:t>.</w:t>
      </w:r>
    </w:p>
    <w:p w14:paraId="750FE523" w14:textId="77777777" w:rsidR="002762C3" w:rsidRDefault="002762C3" w:rsidP="002762C3">
      <w:r>
        <w:t xml:space="preserve">Die </w:t>
      </w:r>
      <w:r w:rsidRPr="002762C3">
        <w:t>Bestimmungen</w:t>
      </w:r>
      <w:r>
        <w:t xml:space="preserve"> </w:t>
      </w:r>
      <w:r w:rsidRPr="002762C3">
        <w:t xml:space="preserve">des Geheimschutzabkommens der OCCAR mit ihren Mitgliedstaaten von 2005 sind nach Maßgabe der Bestimmungen der OCCAR Konvention von 1998 in den OCCAR-Mitgliedstaaten geltendes Recht. </w:t>
      </w:r>
    </w:p>
    <w:p w14:paraId="747880AE" w14:textId="558985AD" w:rsidR="002762C3" w:rsidRDefault="002762C3" w:rsidP="002762C3">
      <w:r w:rsidRPr="002762C3">
        <w:t xml:space="preserve">Die OCCAR Geheimschutzvorschriften </w:t>
      </w:r>
      <w:r w:rsidR="00244FAE">
        <w:t>(</w:t>
      </w:r>
      <w:r w:rsidR="00244FAE" w:rsidRPr="00244FAE">
        <w:rPr>
          <w:i/>
        </w:rPr>
        <w:t>OCCAR Security Regulations</w:t>
      </w:r>
      <w:r w:rsidR="00244FAE">
        <w:t>) s</w:t>
      </w:r>
      <w:r w:rsidRPr="002762C3">
        <w:t xml:space="preserve">ind </w:t>
      </w:r>
      <w:r w:rsidR="00FC6315">
        <w:t xml:space="preserve">in </w:t>
      </w:r>
      <w:r w:rsidRPr="002762C3">
        <w:t>der OMP 11 (</w:t>
      </w:r>
      <w:r w:rsidRPr="00762AA3">
        <w:rPr>
          <w:i/>
        </w:rPr>
        <w:t>OCCAR Management Procedures No. 11</w:t>
      </w:r>
      <w:r w:rsidRPr="002762C3">
        <w:t xml:space="preserve">) in ihrer gültigen Fassung </w:t>
      </w:r>
      <w:r>
        <w:t>festgelegt.</w:t>
      </w:r>
    </w:p>
    <w:p w14:paraId="20D4C101" w14:textId="3782D497" w:rsidR="00244FAE" w:rsidRDefault="00244FAE" w:rsidP="002762C3">
      <w:r>
        <w:lastRenderedPageBreak/>
        <w:t>Im Rahmen von Verträgen mit Bearbeitung von OCCAR-</w:t>
      </w:r>
      <w:r w:rsidR="00CD166A">
        <w:t>VS</w:t>
      </w:r>
      <w:r>
        <w:t xml:space="preserve"> werden Auftragnehmer vertraglich direkt auf die Einhaltung der OCCAR Security Regulations sowie der ergänzenden Regelungen in den jeweiligen Programme Security Instructions (PSI) verpflichtet.</w:t>
      </w:r>
    </w:p>
    <w:p w14:paraId="005F7F4E" w14:textId="76A9C691" w:rsidR="00244FAE" w:rsidRDefault="00244FAE" w:rsidP="002762C3">
      <w:r>
        <w:t>Zusätzlich werden Auftragnehmer vertraglich auf Behandlung von nicht eingestuften, aber anderweitig als sensitiv zu betrachtenden Informationen (</w:t>
      </w:r>
      <w:r w:rsidRPr="00244FAE">
        <w:rPr>
          <w:i/>
        </w:rPr>
        <w:t>OCCAR Sensitive Information</w:t>
      </w:r>
      <w:r>
        <w:t>) verpflichtet. Die Anforderung</w:t>
      </w:r>
      <w:r w:rsidR="00437F84">
        <w:t>e</w:t>
      </w:r>
      <w:r>
        <w:t>n für OCCAR Sensitive Information sind in der OCCAR Management Directive Nr. 12 (OMP 12) festgelegt.</w:t>
      </w:r>
    </w:p>
    <w:p w14:paraId="3CD2BF1A" w14:textId="7EB8FC7E" w:rsidR="002762C3" w:rsidRPr="00531D52" w:rsidRDefault="00762AA3" w:rsidP="005031DD">
      <w:pPr>
        <w:spacing w:before="240" w:after="240"/>
        <w:rPr>
          <w:b/>
        </w:rPr>
      </w:pPr>
      <w:r w:rsidRPr="00531D52">
        <w:rPr>
          <w:b/>
        </w:rPr>
        <w:t xml:space="preserve">OCCAR </w:t>
      </w:r>
      <w:r w:rsidR="002762C3" w:rsidRPr="00531D52">
        <w:rPr>
          <w:b/>
        </w:rPr>
        <w:t>Geheimhaltungsgrade</w:t>
      </w:r>
    </w:p>
    <w:p w14:paraId="46135B6A" w14:textId="00C428F4" w:rsidR="002762C3" w:rsidRPr="002762C3" w:rsidRDefault="002762C3" w:rsidP="002762C3">
      <w:r>
        <w:t>OCCAR</w:t>
      </w:r>
      <w:r w:rsidRPr="002762C3">
        <w:t xml:space="preserve"> SECRET</w:t>
      </w:r>
      <w:r w:rsidR="00F50B83">
        <w:t xml:space="preserve"> </w:t>
      </w:r>
      <w:r w:rsidRPr="002762C3">
        <w:t>- vergleichbar GEHEIM</w:t>
      </w:r>
    </w:p>
    <w:p w14:paraId="6FA6D888" w14:textId="55BE8440" w:rsidR="002762C3" w:rsidRPr="002762C3" w:rsidRDefault="002762C3" w:rsidP="002762C3">
      <w:r>
        <w:t xml:space="preserve">OCCAR </w:t>
      </w:r>
      <w:r w:rsidRPr="002762C3">
        <w:t>CONFIDENTIAL</w:t>
      </w:r>
      <w:r w:rsidR="003B3A6C">
        <w:t xml:space="preserve"> </w:t>
      </w:r>
      <w:r w:rsidRPr="002762C3">
        <w:t>- vergleichbar VS-VERTRAULICH</w:t>
      </w:r>
    </w:p>
    <w:p w14:paraId="46D2023F" w14:textId="0FF1E2A6" w:rsidR="002762C3" w:rsidRDefault="002762C3" w:rsidP="002762C3">
      <w:r>
        <w:t>OCCAR</w:t>
      </w:r>
      <w:r w:rsidRPr="002762C3">
        <w:t xml:space="preserve"> RESTRICTED</w:t>
      </w:r>
      <w:r w:rsidR="003B3A6C">
        <w:t xml:space="preserve"> -</w:t>
      </w:r>
      <w:r w:rsidRPr="002762C3">
        <w:t xml:space="preserve"> vergleichbar VS-</w:t>
      </w:r>
      <w:r w:rsidR="00437F84">
        <w:t>NUR FÜR DEN DIENSTGEBRAUCH</w:t>
      </w:r>
    </w:p>
    <w:p w14:paraId="480F0F34" w14:textId="04C71483" w:rsidR="00762AA3" w:rsidRDefault="00762AA3" w:rsidP="002762C3"/>
    <w:p w14:paraId="646A982A" w14:textId="63D2B1BC" w:rsidR="00762AA3" w:rsidRDefault="00762AA3" w:rsidP="002762C3">
      <w:r w:rsidRPr="00762AA3">
        <w:t xml:space="preserve">Ansonsten gelten auch </w:t>
      </w:r>
      <w:r>
        <w:t xml:space="preserve">für Aufträge im Rahmen von OCCAR-Programmen </w:t>
      </w:r>
      <w:r w:rsidRPr="00762AA3">
        <w:t xml:space="preserve">die Hinweise für die Behandlung von NATO-VS unter den Abschnitten </w:t>
      </w:r>
      <w:r w:rsidR="00437F84">
        <w:fldChar w:fldCharType="begin"/>
      </w:r>
      <w:r w:rsidR="00437F84">
        <w:instrText xml:space="preserve"> REF _Ref101797592 \r \h </w:instrText>
      </w:r>
      <w:r w:rsidR="00437F84">
        <w:fldChar w:fldCharType="separate"/>
      </w:r>
      <w:r w:rsidR="00437F84">
        <w:t>4.b)</w:t>
      </w:r>
      <w:r w:rsidR="00437F84">
        <w:fldChar w:fldCharType="end"/>
      </w:r>
      <w:r w:rsidRPr="00762AA3">
        <w:t xml:space="preserve"> und </w:t>
      </w:r>
      <w:r w:rsidR="00437F84">
        <w:fldChar w:fldCharType="begin"/>
      </w:r>
      <w:r w:rsidR="00437F84">
        <w:instrText xml:space="preserve"> REF _Ref101797606 \r \h </w:instrText>
      </w:r>
      <w:r w:rsidR="00437F84">
        <w:fldChar w:fldCharType="separate"/>
      </w:r>
      <w:r w:rsidR="00437F84">
        <w:t>4.c)</w:t>
      </w:r>
      <w:r w:rsidR="00437F84">
        <w:fldChar w:fldCharType="end"/>
      </w:r>
      <w:r w:rsidRPr="00762AA3">
        <w:t xml:space="preserve"> im Wesentlichen analog.</w:t>
      </w:r>
    </w:p>
    <w:p w14:paraId="1F4667DE" w14:textId="77777777" w:rsidR="00417509" w:rsidRDefault="00417509">
      <w:pPr>
        <w:sectPr w:rsidR="00417509" w:rsidSect="00DD286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3DEA5189" w14:textId="24F9729C" w:rsidR="00762AA3" w:rsidRDefault="00244FAE" w:rsidP="005031DD">
      <w:pPr>
        <w:pStyle w:val="berschrift1"/>
      </w:pPr>
      <w:bookmarkStart w:id="7" w:name="_Hlk78203199"/>
      <w:r w:rsidRPr="00244FAE">
        <w:lastRenderedPageBreak/>
        <w:t>Behandlun</w:t>
      </w:r>
      <w:r>
        <w:t>g von n</w:t>
      </w:r>
      <w:r w:rsidRPr="00244FAE">
        <w:t>ichtdeutsche</w:t>
      </w:r>
      <w:r w:rsidR="00712669">
        <w:t>n</w:t>
      </w:r>
      <w:r w:rsidRPr="00244FAE">
        <w:t xml:space="preserve"> </w:t>
      </w:r>
      <w:r w:rsidR="00CD166A">
        <w:t>VS</w:t>
      </w:r>
      <w:r w:rsidRPr="00244FAE">
        <w:t xml:space="preserve"> aus bilateralen Abkommen</w:t>
      </w:r>
      <w:bookmarkEnd w:id="7"/>
    </w:p>
    <w:p w14:paraId="716E6A3A" w14:textId="3122819E" w:rsidR="00891608" w:rsidRPr="00891608" w:rsidRDefault="00891608" w:rsidP="00891608">
      <w:r w:rsidRPr="002C1EBF">
        <w:rPr>
          <w:u w:val="single"/>
        </w:rPr>
        <w:t xml:space="preserve">Für </w:t>
      </w:r>
      <w:r w:rsidR="00CD166A">
        <w:rPr>
          <w:u w:val="single"/>
        </w:rPr>
        <w:t>VS</w:t>
      </w:r>
      <w:r w:rsidRPr="002C1EBF">
        <w:rPr>
          <w:u w:val="single"/>
        </w:rPr>
        <w:t>, welche Unternehmen im Rahmen</w:t>
      </w:r>
      <w:r w:rsidR="00437F84">
        <w:rPr>
          <w:u w:val="single"/>
        </w:rPr>
        <w:t xml:space="preserve"> von </w:t>
      </w:r>
      <w:r w:rsidRPr="002C1EBF">
        <w:rPr>
          <w:u w:val="single"/>
        </w:rPr>
        <w:t xml:space="preserve">bi- oder multilateralen Projekten oder von nichtdeutschen VS-Auftraggebern auf der Grundlage bilateraler Geheimschutzabkommen überlassen werden, finden die Regelungen des GHB uneingeschränkt Anwendung, soweit in den jeweiligen Abkommen keine abweichenden </w:t>
      </w:r>
      <w:r w:rsidR="005F5415" w:rsidRPr="002C1EBF">
        <w:rPr>
          <w:u w:val="single"/>
        </w:rPr>
        <w:t xml:space="preserve">Vereinbarungen getroffen </w:t>
      </w:r>
      <w:r w:rsidRPr="002C1EBF">
        <w:rPr>
          <w:u w:val="single"/>
        </w:rPr>
        <w:t>worden sind</w:t>
      </w:r>
      <w:r w:rsidRPr="00891608">
        <w:t>.</w:t>
      </w:r>
      <w:r w:rsidR="00437F84">
        <w:t xml:space="preserve"> Die jeweiligen Abkommen halten fest, welche Geheimschutzgrade als äquivalent betrachtet werden und verweisen somit auf das jeweilige Schutzniveau. Im Einzelfall enthält das anwendbare Abkommen noch spezielle Regelungen. </w:t>
      </w:r>
    </w:p>
    <w:p w14:paraId="02C2FED1" w14:textId="3C1E5F8E" w:rsidR="00CB4D62" w:rsidRDefault="00CB4D62" w:rsidP="005031DD">
      <w:pPr>
        <w:pStyle w:val="berschrift2"/>
      </w:pPr>
      <w:r w:rsidRPr="009F176B">
        <w:t>Formen</w:t>
      </w:r>
      <w:r>
        <w:t xml:space="preserve"> </w:t>
      </w:r>
      <w:r w:rsidRPr="00D5375B">
        <w:t>von</w:t>
      </w:r>
      <w:r>
        <w:t xml:space="preserve"> </w:t>
      </w:r>
      <w:r w:rsidRPr="00D5375B">
        <w:t>Abkommen</w:t>
      </w:r>
    </w:p>
    <w:p w14:paraId="463B5C43" w14:textId="3E159A40" w:rsidR="00712669" w:rsidRPr="00531D52" w:rsidRDefault="00065D66" w:rsidP="005031DD">
      <w:pPr>
        <w:pStyle w:val="berschrift3"/>
      </w:pPr>
      <w:r w:rsidRPr="00D5375B">
        <w:t>Regierungsgeheimschutzabkommen</w:t>
      </w:r>
    </w:p>
    <w:p w14:paraId="7E39038A" w14:textId="4E2EBA3E" w:rsidR="00712669" w:rsidRDefault="00065D66" w:rsidP="00712669">
      <w:r w:rsidRPr="00065D66">
        <w:t>Regierungsgeheimschutzabkommen (G</w:t>
      </w:r>
      <w:r w:rsidR="005F5415">
        <w:t xml:space="preserve">eneral </w:t>
      </w:r>
      <w:r w:rsidRPr="00065D66">
        <w:t>Security Agreement - GSA) sind zweiseitige völkerrechtliche Verträge zwischen der Regierung der Bundesrepublik Deutschland und der Regierung eines anderen Staates oder dem entsprechenden Exekutivorgan einer internationalen Organisation.</w:t>
      </w:r>
    </w:p>
    <w:p w14:paraId="211BDFCB" w14:textId="5DCB652F" w:rsidR="00065D66" w:rsidRDefault="00065D66" w:rsidP="00712669">
      <w:r w:rsidRPr="00065D66">
        <w:t xml:space="preserve">Regierungsgeheimschutzabkommen binden die Bundesrepublik Deutschland als Völkerrechtssubjekt in ihrer Gesamtheit und ermöglichen den Austausch von </w:t>
      </w:r>
      <w:r w:rsidR="00CD166A">
        <w:t>VS</w:t>
      </w:r>
      <w:r w:rsidRPr="00065D66">
        <w:t xml:space="preserve"> mit </w:t>
      </w:r>
      <w:r>
        <w:t>Regierungseinrichtungen oder Auftragnehmern i</w:t>
      </w:r>
      <w:r w:rsidRPr="00065D66">
        <w:t>m jeweiligen Partnerstaat</w:t>
      </w:r>
      <w:r>
        <w:t>.</w:t>
      </w:r>
    </w:p>
    <w:p w14:paraId="43CAFC34" w14:textId="26C9DD0A" w:rsidR="00065D66" w:rsidRPr="00531D52" w:rsidRDefault="00891608" w:rsidP="005031DD">
      <w:pPr>
        <w:pStyle w:val="berschrift3"/>
      </w:pPr>
      <w:r w:rsidRPr="00531D52">
        <w:t>Ressortgeheimschutzabkommen</w:t>
      </w:r>
    </w:p>
    <w:p w14:paraId="3022E30E" w14:textId="77777777" w:rsidR="00891608" w:rsidRPr="00891608" w:rsidRDefault="00891608" w:rsidP="00891608">
      <w:r w:rsidRPr="00891608">
        <w:t>Ressortgeheimschutzabkommen werden zwischen einem Bundesressort und dessen Pendant in einem Partnerstaat geschlossen. Sie genießen dieselbe völkerrechtliche Stellung wie Regierungsgeheimschutzabkommen und binden ebenfalls die Bundesrepublik Deutschland als Völkerrechtssubjekt in ihrer Gesamtheit.</w:t>
      </w:r>
    </w:p>
    <w:p w14:paraId="2330EB91" w14:textId="1389E9E0" w:rsidR="00891608" w:rsidRPr="00891608" w:rsidRDefault="00891608" w:rsidP="00891608">
      <w:r w:rsidRPr="00891608">
        <w:t xml:space="preserve">Allerdings können auf Grundlage von Ressortgeheimschutzabkommen nur </w:t>
      </w:r>
      <w:r w:rsidR="00CD166A">
        <w:t>VS</w:t>
      </w:r>
      <w:r w:rsidRPr="00891608">
        <w:t xml:space="preserve"> der jeweils betreffenden Ressorts und Behörden ihres Geschäftsbereichs ausgetauscht werden.</w:t>
      </w:r>
      <w:r>
        <w:t xml:space="preserve"> Für bilaterale Verteidigungsprojekte sind i.d.R. die vom BMV</w:t>
      </w:r>
      <w:r w:rsidR="00437F84">
        <w:t>g</w:t>
      </w:r>
      <w:r>
        <w:t xml:space="preserve"> geschlossenen </w:t>
      </w:r>
      <w:r w:rsidRPr="00891608">
        <w:t>Ressortgeheimschutzabkommen</w:t>
      </w:r>
      <w:r>
        <w:t xml:space="preserve"> relevant.</w:t>
      </w:r>
    </w:p>
    <w:p w14:paraId="02903FCB" w14:textId="583603CE" w:rsidR="00891608" w:rsidRPr="00531D52" w:rsidRDefault="00891608" w:rsidP="005031DD">
      <w:pPr>
        <w:pStyle w:val="berschrift3"/>
      </w:pPr>
      <w:r w:rsidRPr="00531D52">
        <w:t xml:space="preserve">Memoranda of Understanding (MoU), Memoranda of Agreement (MoA) oder vergleichbare </w:t>
      </w:r>
      <w:r w:rsidR="00CB4D62" w:rsidRPr="00531D52">
        <w:t>nicht</w:t>
      </w:r>
      <w:r w:rsidR="00437F84">
        <w:t xml:space="preserve"> rechts</w:t>
      </w:r>
      <w:r w:rsidR="00CB4D62" w:rsidRPr="00531D52">
        <w:t>verbindlich</w:t>
      </w:r>
      <w:r w:rsidR="00CB4D62">
        <w:t>e Vereinbarungen</w:t>
      </w:r>
    </w:p>
    <w:p w14:paraId="2573F8A3" w14:textId="3F6A5124" w:rsidR="00891608" w:rsidRDefault="00891608" w:rsidP="00891608">
      <w:r w:rsidRPr="00891608">
        <w:t xml:space="preserve">Obwohl Instrumente dieser Art Absprachen zur Handhabung von </w:t>
      </w:r>
      <w:r w:rsidR="00CD166A">
        <w:t>VS</w:t>
      </w:r>
      <w:r w:rsidRPr="00891608">
        <w:t xml:space="preserve"> enthalten</w:t>
      </w:r>
      <w:r>
        <w:t xml:space="preserve"> können</w:t>
      </w:r>
      <w:r w:rsidRPr="00891608">
        <w:t>, fehlt ihnen die rechtliche Verbindlichkeit</w:t>
      </w:r>
      <w:r>
        <w:t xml:space="preserve"> zum gegenseitigen Schutz von </w:t>
      </w:r>
      <w:r w:rsidR="00CD166A">
        <w:t>VS</w:t>
      </w:r>
      <w:r w:rsidRPr="00891608">
        <w:t>.</w:t>
      </w:r>
    </w:p>
    <w:p w14:paraId="55FE8874" w14:textId="6CB7A03A" w:rsidR="00891608" w:rsidRPr="00891608" w:rsidRDefault="00891608" w:rsidP="00891608">
      <w:r w:rsidRPr="00891608">
        <w:rPr>
          <w:u w:val="single"/>
        </w:rPr>
        <w:t xml:space="preserve">Sie können daher genuine Regierungs- beziehungsweise Ressortgeheimschutzabkommen nicht ersetzen und daher dürfen auf der Grundlage solcher Vereinbarungen auch keine deutschen </w:t>
      </w:r>
      <w:r w:rsidR="00CD166A">
        <w:rPr>
          <w:u w:val="single"/>
        </w:rPr>
        <w:t>VS</w:t>
      </w:r>
      <w:r w:rsidRPr="00891608">
        <w:rPr>
          <w:u w:val="single"/>
        </w:rPr>
        <w:t xml:space="preserve"> an ausländische Regierungseinrichtungen oder Auftragnehmer gegeben werden</w:t>
      </w:r>
      <w:r>
        <w:t>.</w:t>
      </w:r>
    </w:p>
    <w:p w14:paraId="7F07E72F" w14:textId="5B8ABC37" w:rsidR="00065D66" w:rsidRDefault="00065D66" w:rsidP="00712669">
      <w:r>
        <w:t xml:space="preserve">Eine Liste der </w:t>
      </w:r>
      <w:r w:rsidRPr="00065D66">
        <w:t xml:space="preserve">in Kraft befindlicher </w:t>
      </w:r>
      <w:r>
        <w:t>Geheimschutz</w:t>
      </w:r>
      <w:r w:rsidRPr="00065D66">
        <w:t>abkommen</w:t>
      </w:r>
      <w:r>
        <w:t xml:space="preserve"> ist im geschützten Bereich des Geheimschutzservers abrufbar. Für weitere Fragen zu einzelnen Geheimschutzabkommen steht BMW</w:t>
      </w:r>
      <w:r w:rsidR="00DE3C82">
        <w:t>K</w:t>
      </w:r>
      <w:r>
        <w:t xml:space="preserve"> zur Verfügung.</w:t>
      </w:r>
    </w:p>
    <w:p w14:paraId="09655877" w14:textId="77777777" w:rsidR="005F5415" w:rsidRDefault="005F5415" w:rsidP="00712669"/>
    <w:p w14:paraId="651DCCD5" w14:textId="38F8DBBC" w:rsidR="005F5415" w:rsidRPr="002861BB" w:rsidRDefault="005F5415" w:rsidP="005031DD">
      <w:pPr>
        <w:pStyle w:val="berschrift3"/>
      </w:pPr>
      <w:r w:rsidRPr="002861BB">
        <w:lastRenderedPageBreak/>
        <w:t xml:space="preserve">Hinweise zur </w:t>
      </w:r>
      <w:r w:rsidR="002B26F0">
        <w:t>Kennzeichnung</w:t>
      </w:r>
      <w:r w:rsidRPr="002861BB">
        <w:t xml:space="preserve"> nichtdeutscher VS</w:t>
      </w:r>
    </w:p>
    <w:p w14:paraId="5D77EE34" w14:textId="28490F4D" w:rsidR="005F5415" w:rsidRDefault="005F5415" w:rsidP="005F5415">
      <w:r w:rsidRPr="005F5415">
        <w:t xml:space="preserve">Nichtdeutsche </w:t>
      </w:r>
      <w:r w:rsidR="00CD166A">
        <w:t>VS</w:t>
      </w:r>
      <w:r>
        <w:t xml:space="preserve">, welche deutschen Unternehmen auf der Grundlage eines bilateralen Geheimschutzabkommens überlassen werden, </w:t>
      </w:r>
      <w:r w:rsidRPr="005F5415">
        <w:t>sind zusätzlich mit dem korrespondierenden deutschen Geheimhaltungsgrad zu kennzeichnen</w:t>
      </w:r>
      <w:r>
        <w:t>.</w:t>
      </w:r>
    </w:p>
    <w:p w14:paraId="04D18A38" w14:textId="3E129A62" w:rsidR="005F5415" w:rsidRDefault="005F5415" w:rsidP="005F5415">
      <w:r w:rsidRPr="005F5415">
        <w:t>Dies erfolgt jeweils unterhalb des Originalgeheimhaltungsgrades</w:t>
      </w:r>
      <w:r w:rsidR="00437F84">
        <w:t>.</w:t>
      </w:r>
      <w:r w:rsidRPr="005F5415">
        <w:t xml:space="preserve"> Bei zusammenhängenden </w:t>
      </w:r>
      <w:r w:rsidR="00CD166A">
        <w:t>VS</w:t>
      </w:r>
      <w:r w:rsidRPr="005F5415">
        <w:t xml:space="preserve"> reicht es aus, wenn diese zusätzliche </w:t>
      </w:r>
      <w:r w:rsidR="0092179E">
        <w:t>Kennzeichnung</w:t>
      </w:r>
      <w:r w:rsidRPr="005F5415">
        <w:t xml:space="preserve"> nur auf der ersten Seite erfolgt.</w:t>
      </w:r>
    </w:p>
    <w:p w14:paraId="65F57323" w14:textId="52AE4C4E" w:rsidR="00F56C49" w:rsidRPr="005F5415" w:rsidRDefault="00C10742" w:rsidP="005F5415">
      <w:r>
        <w:t>Solche nichtdeutschen VS sind mit dem vergleichbaren deutschen Geheimhaltun</w:t>
      </w:r>
      <w:r w:rsidR="00F56C49">
        <w:t>g</w:t>
      </w:r>
      <w:r>
        <w:t xml:space="preserve">sgrad </w:t>
      </w:r>
      <w:r w:rsidR="00F56C49">
        <w:t>in den VS-Tagebüchern zu erfassen.</w:t>
      </w:r>
      <w:r w:rsidR="00437F84">
        <w:t xml:space="preserve"> </w:t>
      </w:r>
      <w:r w:rsidR="00F56C49">
        <w:t>Auch nichtdeutsche VS sollten in den VS-Verwahrgelassen in nach Ländern getrennten Ordnern aufbewahrt werden.</w:t>
      </w:r>
    </w:p>
    <w:p w14:paraId="15ACD61E" w14:textId="2307908C" w:rsidR="005F5415" w:rsidRPr="005F5415" w:rsidRDefault="005F5415">
      <w:r w:rsidRPr="005F5415">
        <w:t>Keinesfalls darf der Originalgeheimhaltungsgrad durchgestrichen, überschrieben oder durch die zusätzliche Kennzeichnung geändert werden</w:t>
      </w:r>
      <w:r w:rsidRPr="006D3FD4">
        <w:t>.</w:t>
      </w:r>
    </w:p>
    <w:sectPr w:rsidR="005F5415" w:rsidRPr="005F5415" w:rsidSect="00DD286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9FD1" w14:textId="77777777" w:rsidR="001A4F52" w:rsidRDefault="001A4F52" w:rsidP="00BF5A10">
      <w:r>
        <w:separator/>
      </w:r>
    </w:p>
  </w:endnote>
  <w:endnote w:type="continuationSeparator" w:id="0">
    <w:p w14:paraId="21FF1F53" w14:textId="77777777" w:rsidR="001A4F52" w:rsidRDefault="001A4F52" w:rsidP="00B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94E0" w14:textId="77777777" w:rsidR="001653B9" w:rsidRDefault="001653B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8458863"/>
      <w:docPartObj>
        <w:docPartGallery w:val="Page Numbers (Bottom of Page)"/>
        <w:docPartUnique/>
      </w:docPartObj>
    </w:sdtPr>
    <w:sdtEndPr/>
    <w:sdtContent>
      <w:p w14:paraId="5CF707C1" w14:textId="45B55B8D" w:rsidR="006A2E7F" w:rsidRDefault="006A2E7F">
        <w:pPr>
          <w:pStyle w:val="Fuzeile"/>
          <w:jc w:val="right"/>
        </w:pPr>
        <w:r>
          <w:fldChar w:fldCharType="begin"/>
        </w:r>
        <w:r>
          <w:instrText>PAGE   \* MERGEFORMAT</w:instrText>
        </w:r>
        <w:r>
          <w:fldChar w:fldCharType="separate"/>
        </w:r>
        <w:r>
          <w:t>2</w:t>
        </w:r>
        <w:r>
          <w:fldChar w:fldCharType="end"/>
        </w:r>
      </w:p>
    </w:sdtContent>
  </w:sdt>
  <w:p w14:paraId="4F7D19ED" w14:textId="163770AF" w:rsidR="00353A13" w:rsidRDefault="00353A13" w:rsidP="005031DD">
    <w:pPr>
      <w:pStyle w:val="Fuzeile"/>
      <w:ind w:left="0"/>
      <w:rPr>
        <w:sz w:val="16"/>
      </w:rPr>
    </w:pPr>
    <w:r>
      <w:rPr>
        <w:sz w:val="16"/>
      </w:rPr>
      <w:t>Stand: 0</w:t>
    </w:r>
    <w:r w:rsidR="00260A86">
      <w:rPr>
        <w:sz w:val="16"/>
      </w:rPr>
      <w:t>1</w:t>
    </w:r>
    <w:r>
      <w:rPr>
        <w:sz w:val="16"/>
      </w:rPr>
      <w:t>.0</w:t>
    </w:r>
    <w:r w:rsidR="007C41A0">
      <w:rPr>
        <w:sz w:val="16"/>
      </w:rPr>
      <w:t>8</w:t>
    </w:r>
    <w:r>
      <w:rPr>
        <w:sz w:val="16"/>
      </w:rPr>
      <w:t>.2022</w:t>
    </w:r>
  </w:p>
  <w:p w14:paraId="62F5E266" w14:textId="77777777" w:rsidR="006A2E7F" w:rsidRDefault="006A2E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97BDF" w14:textId="77777777" w:rsidR="001653B9" w:rsidRDefault="001653B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634C3" w14:textId="77777777" w:rsidR="001A4F52" w:rsidRDefault="001A4F52" w:rsidP="00BF5A10">
      <w:r>
        <w:separator/>
      </w:r>
    </w:p>
  </w:footnote>
  <w:footnote w:type="continuationSeparator" w:id="0">
    <w:p w14:paraId="4F736B4A" w14:textId="77777777" w:rsidR="001A4F52" w:rsidRDefault="001A4F52" w:rsidP="00BF5A10">
      <w:r>
        <w:continuationSeparator/>
      </w:r>
    </w:p>
  </w:footnote>
  <w:footnote w:id="1">
    <w:p w14:paraId="1436FE2C" w14:textId="617DBE67" w:rsidR="006D3FD4" w:rsidRPr="006D3FD4" w:rsidRDefault="006D3FD4">
      <w:pPr>
        <w:pStyle w:val="Funotentext"/>
      </w:pPr>
      <w:r>
        <w:rPr>
          <w:rStyle w:val="Funotenzeichen"/>
        </w:rPr>
        <w:footnoteRef/>
      </w:r>
      <w:r w:rsidRPr="006D3FD4">
        <w:t xml:space="preserve"> Ein</w:t>
      </w:r>
      <w:r>
        <w:t>e</w:t>
      </w:r>
      <w:r w:rsidRPr="006D3FD4">
        <w:t xml:space="preserve"> Auflistung der gängigen vergleichbaren Geheimhaltungsgrade </w:t>
      </w:r>
      <w:r w:rsidR="00F50B83" w:rsidRPr="00F50B83">
        <w:t xml:space="preserve">über- oder zwischenstaatlicher Einrichtungen oder Stellen </w:t>
      </w:r>
      <w:r w:rsidR="00F50B83">
        <w:t xml:space="preserve">findet sich </w:t>
      </w:r>
      <w:r w:rsidRPr="006D3FD4">
        <w:t>in Anlage 31 zum GHB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44061" w14:textId="77777777" w:rsidR="001653B9" w:rsidRDefault="001653B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EE989" w14:textId="0BFD5018" w:rsidR="00766E0C" w:rsidRPr="001653B9" w:rsidRDefault="00766E0C" w:rsidP="001653B9">
    <w:pPr>
      <w:pStyle w:val="Kopfzeile"/>
    </w:pPr>
    <w:bookmarkStart w:id="6" w:name="_GoBack"/>
    <w:bookmarkEnd w:id="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B6B7" w14:textId="77777777" w:rsidR="001653B9" w:rsidRDefault="001653B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A5FC1"/>
    <w:multiLevelType w:val="multilevel"/>
    <w:tmpl w:val="3BF24606"/>
    <w:lvl w:ilvl="0">
      <w:start w:val="1"/>
      <w:numFmt w:val="decimal"/>
      <w:pStyle w:val="berschrift1"/>
      <w:lvlText w:val="%1"/>
      <w:lvlJc w:val="left"/>
      <w:pPr>
        <w:ind w:left="432" w:hanging="432"/>
      </w:pPr>
    </w:lvl>
    <w:lvl w:ilvl="1">
      <w:start w:val="1"/>
      <w:numFmt w:val="decimal"/>
      <w:pStyle w:val="berschrift2"/>
      <w:lvlText w:val="%1.%2"/>
      <w:lvlJc w:val="left"/>
      <w:pPr>
        <w:ind w:left="2136" w:hanging="576"/>
      </w:pPr>
    </w:lvl>
    <w:lvl w:ilvl="2">
      <w:start w:val="1"/>
      <w:numFmt w:val="decimal"/>
      <w:pStyle w:val="berschrift3"/>
      <w:lvlText w:val="%1.%2.%3"/>
      <w:lvlJc w:val="left"/>
      <w:pPr>
        <w:ind w:left="2564"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F686212"/>
    <w:multiLevelType w:val="hybridMultilevel"/>
    <w:tmpl w:val="C360BC3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6347F1"/>
    <w:multiLevelType w:val="multilevel"/>
    <w:tmpl w:val="FEF81098"/>
    <w:lvl w:ilvl="0">
      <w:start w:val="1"/>
      <w:numFmt w:val="upperRoman"/>
      <w:lvlText w:val="%1."/>
      <w:lvlJc w:val="right"/>
      <w:pPr>
        <w:ind w:left="720" w:hanging="360"/>
      </w:pPr>
    </w:lvl>
    <w:lvl w:ilvl="1">
      <w:start w:val="1"/>
      <w:numFmt w:val="decimal"/>
      <w:lvlText w:val="%2."/>
      <w:lvlJc w:val="left"/>
      <w:pPr>
        <w:ind w:left="1080" w:hanging="720"/>
      </w:pPr>
      <w:rPr>
        <w:rFonts w:hint="default"/>
      </w:rPr>
    </w:lvl>
    <w:lvl w:ilvl="2">
      <w:start w:val="1"/>
      <w:numFmt w:val="lowerLetter"/>
      <w:lvlText w:val="%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6D314D8"/>
    <w:multiLevelType w:val="multilevel"/>
    <w:tmpl w:val="EEFE2D46"/>
    <w:lvl w:ilvl="0">
      <w:start w:val="1"/>
      <w:numFmt w:val="upperRoman"/>
      <w:lvlText w:val="%1."/>
      <w:lvlJc w:val="right"/>
      <w:pPr>
        <w:ind w:left="720" w:hanging="360"/>
      </w:pPr>
      <w:rPr>
        <w:rFonts w:hint="default"/>
      </w:rPr>
    </w:lvl>
    <w:lvl w:ilvl="1">
      <w:start w:val="1"/>
      <w:numFmt w:val="decimal"/>
      <w:pStyle w:val="TitelEbene2"/>
      <w:lvlText w:val="%2."/>
      <w:lvlJc w:val="left"/>
      <w:pPr>
        <w:ind w:left="1080" w:hanging="720"/>
      </w:pPr>
      <w:rPr>
        <w:rFonts w:hint="default"/>
      </w:rPr>
    </w:lvl>
    <w:lvl w:ilvl="2">
      <w:start w:val="1"/>
      <w:numFmt w:val="lowerLetter"/>
      <w:pStyle w:val="TitelEbene3"/>
      <w:lvlText w:val="%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648D2E92"/>
    <w:multiLevelType w:val="hybridMultilevel"/>
    <w:tmpl w:val="AC3883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293FD7"/>
    <w:multiLevelType w:val="hybridMultilevel"/>
    <w:tmpl w:val="3E6E7822"/>
    <w:lvl w:ilvl="0" w:tplc="4EFEB908">
      <w:start w:val="1"/>
      <w:numFmt w:val="upperRoman"/>
      <w:pStyle w:val="TitelEbene1"/>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65"/>
    <w:rsid w:val="00005ECF"/>
    <w:rsid w:val="0004003E"/>
    <w:rsid w:val="0004733C"/>
    <w:rsid w:val="00062F39"/>
    <w:rsid w:val="00065D66"/>
    <w:rsid w:val="000B63D6"/>
    <w:rsid w:val="000F5DD1"/>
    <w:rsid w:val="0010582E"/>
    <w:rsid w:val="00120284"/>
    <w:rsid w:val="00146719"/>
    <w:rsid w:val="00153CB4"/>
    <w:rsid w:val="001653B9"/>
    <w:rsid w:val="00167595"/>
    <w:rsid w:val="001A4F52"/>
    <w:rsid w:val="00244FAE"/>
    <w:rsid w:val="00256557"/>
    <w:rsid w:val="00260A86"/>
    <w:rsid w:val="002654F5"/>
    <w:rsid w:val="002762C3"/>
    <w:rsid w:val="002861BB"/>
    <w:rsid w:val="002B15D7"/>
    <w:rsid w:val="002B26F0"/>
    <w:rsid w:val="002C04B6"/>
    <w:rsid w:val="002C1EBF"/>
    <w:rsid w:val="002C53C0"/>
    <w:rsid w:val="00330357"/>
    <w:rsid w:val="00336675"/>
    <w:rsid w:val="00353A13"/>
    <w:rsid w:val="00354346"/>
    <w:rsid w:val="003673E8"/>
    <w:rsid w:val="00367712"/>
    <w:rsid w:val="00396FDF"/>
    <w:rsid w:val="003A1DB4"/>
    <w:rsid w:val="003B3A6C"/>
    <w:rsid w:val="003F0AEC"/>
    <w:rsid w:val="00417509"/>
    <w:rsid w:val="00437F84"/>
    <w:rsid w:val="004470B7"/>
    <w:rsid w:val="00452988"/>
    <w:rsid w:val="00461195"/>
    <w:rsid w:val="0047132B"/>
    <w:rsid w:val="00482350"/>
    <w:rsid w:val="004B6A65"/>
    <w:rsid w:val="004C2A52"/>
    <w:rsid w:val="004D6E04"/>
    <w:rsid w:val="004F1954"/>
    <w:rsid w:val="005031DD"/>
    <w:rsid w:val="0051006B"/>
    <w:rsid w:val="00531D52"/>
    <w:rsid w:val="005450AA"/>
    <w:rsid w:val="005641C5"/>
    <w:rsid w:val="005671E5"/>
    <w:rsid w:val="00583A00"/>
    <w:rsid w:val="005C1376"/>
    <w:rsid w:val="005C3FCB"/>
    <w:rsid w:val="005F1474"/>
    <w:rsid w:val="005F5415"/>
    <w:rsid w:val="00614FB0"/>
    <w:rsid w:val="00625327"/>
    <w:rsid w:val="00651EE1"/>
    <w:rsid w:val="00667888"/>
    <w:rsid w:val="006A2E7F"/>
    <w:rsid w:val="006D2818"/>
    <w:rsid w:val="006D3FD4"/>
    <w:rsid w:val="006E0B0B"/>
    <w:rsid w:val="00712669"/>
    <w:rsid w:val="00733CFE"/>
    <w:rsid w:val="00750DBC"/>
    <w:rsid w:val="0075464B"/>
    <w:rsid w:val="0076046A"/>
    <w:rsid w:val="00762AA3"/>
    <w:rsid w:val="00763C3E"/>
    <w:rsid w:val="00766E0C"/>
    <w:rsid w:val="00783139"/>
    <w:rsid w:val="00787C7B"/>
    <w:rsid w:val="0079787A"/>
    <w:rsid w:val="007A25A3"/>
    <w:rsid w:val="007C41A0"/>
    <w:rsid w:val="007D3DC6"/>
    <w:rsid w:val="00827BBD"/>
    <w:rsid w:val="008640AB"/>
    <w:rsid w:val="00876262"/>
    <w:rsid w:val="00883FD4"/>
    <w:rsid w:val="00891608"/>
    <w:rsid w:val="008B7D09"/>
    <w:rsid w:val="008C0FCA"/>
    <w:rsid w:val="008E2C0A"/>
    <w:rsid w:val="0092179E"/>
    <w:rsid w:val="00942F19"/>
    <w:rsid w:val="00985801"/>
    <w:rsid w:val="009F176B"/>
    <w:rsid w:val="00A6426E"/>
    <w:rsid w:val="00A73098"/>
    <w:rsid w:val="00A761B9"/>
    <w:rsid w:val="00AB1A4C"/>
    <w:rsid w:val="00AC56B5"/>
    <w:rsid w:val="00B07835"/>
    <w:rsid w:val="00B338B7"/>
    <w:rsid w:val="00B76F8E"/>
    <w:rsid w:val="00BE4E58"/>
    <w:rsid w:val="00BF5A10"/>
    <w:rsid w:val="00C00C4E"/>
    <w:rsid w:val="00C042DF"/>
    <w:rsid w:val="00C10742"/>
    <w:rsid w:val="00C4155B"/>
    <w:rsid w:val="00C73256"/>
    <w:rsid w:val="00C74714"/>
    <w:rsid w:val="00C75DD8"/>
    <w:rsid w:val="00CB4D62"/>
    <w:rsid w:val="00CD166A"/>
    <w:rsid w:val="00CE2F37"/>
    <w:rsid w:val="00CF2E85"/>
    <w:rsid w:val="00D5375B"/>
    <w:rsid w:val="00D6061E"/>
    <w:rsid w:val="00D707EC"/>
    <w:rsid w:val="00D94C19"/>
    <w:rsid w:val="00DB109B"/>
    <w:rsid w:val="00DC1E01"/>
    <w:rsid w:val="00DD0E38"/>
    <w:rsid w:val="00DD2862"/>
    <w:rsid w:val="00DE3C82"/>
    <w:rsid w:val="00DE716C"/>
    <w:rsid w:val="00DF119D"/>
    <w:rsid w:val="00DF7BC8"/>
    <w:rsid w:val="00E568FC"/>
    <w:rsid w:val="00E80955"/>
    <w:rsid w:val="00E8572F"/>
    <w:rsid w:val="00ED3794"/>
    <w:rsid w:val="00F50B83"/>
    <w:rsid w:val="00F5245C"/>
    <w:rsid w:val="00F56C49"/>
    <w:rsid w:val="00F6068C"/>
    <w:rsid w:val="00F96F22"/>
    <w:rsid w:val="00FA1FDE"/>
    <w:rsid w:val="00FC6315"/>
    <w:rsid w:val="00FD7BE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148BB7"/>
  <w15:chartTrackingRefBased/>
  <w15:docId w15:val="{63319C20-1184-4305-B45C-B5C0CBA98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4155B"/>
    <w:pPr>
      <w:spacing w:after="0" w:line="240" w:lineRule="auto"/>
      <w:ind w:left="567"/>
      <w:jc w:val="both"/>
    </w:pPr>
    <w:rPr>
      <w:rFonts w:ascii="Times New Roman" w:eastAsia="Times New Roman" w:hAnsi="Times New Roman" w:cs="Times New Roman"/>
      <w:sz w:val="24"/>
      <w:szCs w:val="20"/>
      <w:lang w:val="de-DE" w:eastAsia="de-DE"/>
    </w:rPr>
  </w:style>
  <w:style w:type="paragraph" w:styleId="berschrift1">
    <w:name w:val="heading 1"/>
    <w:basedOn w:val="Standard"/>
    <w:next w:val="Standard"/>
    <w:link w:val="berschrift1Zchn"/>
    <w:uiPriority w:val="9"/>
    <w:qFormat/>
    <w:rsid w:val="00C4155B"/>
    <w:pPr>
      <w:keepNext/>
      <w:keepLines/>
      <w:numPr>
        <w:numId w:val="11"/>
      </w:numPr>
      <w:spacing w:before="240" w:after="240" w:line="276" w:lineRule="auto"/>
      <w:outlineLvl w:val="0"/>
    </w:pPr>
    <w:rPr>
      <w:rFonts w:eastAsia="SimSun"/>
      <w:b/>
      <w:bCs/>
      <w:szCs w:val="28"/>
    </w:rPr>
  </w:style>
  <w:style w:type="paragraph" w:styleId="berschrift2">
    <w:name w:val="heading 2"/>
    <w:basedOn w:val="Standard"/>
    <w:next w:val="Standard"/>
    <w:link w:val="berschrift2Zchn"/>
    <w:uiPriority w:val="9"/>
    <w:unhideWhenUsed/>
    <w:qFormat/>
    <w:rsid w:val="00C4155B"/>
    <w:pPr>
      <w:keepNext/>
      <w:keepLines/>
      <w:numPr>
        <w:ilvl w:val="1"/>
        <w:numId w:val="11"/>
      </w:numPr>
      <w:spacing w:before="240" w:after="60" w:line="276" w:lineRule="auto"/>
      <w:ind w:left="567"/>
      <w:outlineLvl w:val="1"/>
    </w:pPr>
    <w:rPr>
      <w:rFonts w:eastAsia="SimSun"/>
      <w:b/>
      <w:bCs/>
      <w:color w:val="000000"/>
      <w:szCs w:val="26"/>
    </w:rPr>
  </w:style>
  <w:style w:type="paragraph" w:styleId="berschrift3">
    <w:name w:val="heading 3"/>
    <w:basedOn w:val="Standard"/>
    <w:next w:val="Standard"/>
    <w:link w:val="berschrift3Zchn"/>
    <w:uiPriority w:val="9"/>
    <w:unhideWhenUsed/>
    <w:qFormat/>
    <w:rsid w:val="00C4155B"/>
    <w:pPr>
      <w:keepNext/>
      <w:keepLines/>
      <w:numPr>
        <w:ilvl w:val="2"/>
        <w:numId w:val="11"/>
      </w:numPr>
      <w:spacing w:before="200" w:after="120" w:line="276" w:lineRule="auto"/>
      <w:ind w:left="567" w:hanging="567"/>
      <w:outlineLvl w:val="2"/>
    </w:pPr>
    <w:rPr>
      <w:rFonts w:eastAsia="SimSun"/>
      <w:b/>
      <w:bCs/>
    </w:rPr>
  </w:style>
  <w:style w:type="paragraph" w:styleId="berschrift4">
    <w:name w:val="heading 4"/>
    <w:basedOn w:val="Standard"/>
    <w:next w:val="Standard"/>
    <w:link w:val="berschrift4Zchn"/>
    <w:uiPriority w:val="9"/>
    <w:semiHidden/>
    <w:unhideWhenUsed/>
    <w:qFormat/>
    <w:rsid w:val="00C4155B"/>
    <w:pPr>
      <w:keepNext/>
      <w:keepLines/>
      <w:numPr>
        <w:ilvl w:val="3"/>
        <w:numId w:val="11"/>
      </w:numPr>
      <w:spacing w:before="200" w:line="276" w:lineRule="auto"/>
      <w:outlineLvl w:val="3"/>
    </w:pPr>
    <w:rPr>
      <w:rFonts w:ascii="Cambria" w:eastAsia="SimSun" w:hAnsi="Cambria"/>
      <w:b/>
      <w:bCs/>
      <w:i/>
      <w:i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6A65"/>
    <w:pPr>
      <w:ind w:left="720"/>
      <w:contextualSpacing/>
    </w:pPr>
  </w:style>
  <w:style w:type="paragraph" w:styleId="Endnotentext">
    <w:name w:val="endnote text"/>
    <w:basedOn w:val="Standard"/>
    <w:link w:val="EndnotentextZchn"/>
    <w:uiPriority w:val="99"/>
    <w:semiHidden/>
    <w:unhideWhenUsed/>
    <w:rsid w:val="00BF5A10"/>
    <w:rPr>
      <w:sz w:val="20"/>
    </w:rPr>
  </w:style>
  <w:style w:type="character" w:customStyle="1" w:styleId="EndnotentextZchn">
    <w:name w:val="Endnotentext Zchn"/>
    <w:basedOn w:val="Absatz-Standardschriftart"/>
    <w:link w:val="Endnotentext"/>
    <w:uiPriority w:val="99"/>
    <w:semiHidden/>
    <w:rsid w:val="00BF5A10"/>
    <w:rPr>
      <w:sz w:val="20"/>
      <w:szCs w:val="20"/>
    </w:rPr>
  </w:style>
  <w:style w:type="character" w:styleId="Endnotenzeichen">
    <w:name w:val="endnote reference"/>
    <w:basedOn w:val="Absatz-Standardschriftart"/>
    <w:uiPriority w:val="99"/>
    <w:semiHidden/>
    <w:unhideWhenUsed/>
    <w:rsid w:val="00BF5A10"/>
    <w:rPr>
      <w:vertAlign w:val="superscript"/>
    </w:rPr>
  </w:style>
  <w:style w:type="character" w:styleId="Kommentarzeichen">
    <w:name w:val="annotation reference"/>
    <w:basedOn w:val="Absatz-Standardschriftart"/>
    <w:uiPriority w:val="99"/>
    <w:semiHidden/>
    <w:unhideWhenUsed/>
    <w:rsid w:val="004D6E04"/>
    <w:rPr>
      <w:sz w:val="16"/>
      <w:szCs w:val="16"/>
    </w:rPr>
  </w:style>
  <w:style w:type="paragraph" w:styleId="Kommentartext">
    <w:name w:val="annotation text"/>
    <w:basedOn w:val="Standard"/>
    <w:link w:val="KommentartextZchn"/>
    <w:uiPriority w:val="99"/>
    <w:unhideWhenUsed/>
    <w:rsid w:val="004D6E04"/>
    <w:rPr>
      <w:sz w:val="20"/>
    </w:rPr>
  </w:style>
  <w:style w:type="character" w:customStyle="1" w:styleId="KommentartextZchn">
    <w:name w:val="Kommentartext Zchn"/>
    <w:basedOn w:val="Absatz-Standardschriftart"/>
    <w:link w:val="Kommentartext"/>
    <w:uiPriority w:val="99"/>
    <w:rsid w:val="004D6E04"/>
    <w:rPr>
      <w:sz w:val="20"/>
      <w:szCs w:val="20"/>
    </w:rPr>
  </w:style>
  <w:style w:type="paragraph" w:styleId="Kommentarthema">
    <w:name w:val="annotation subject"/>
    <w:basedOn w:val="Kommentartext"/>
    <w:next w:val="Kommentartext"/>
    <w:link w:val="KommentarthemaZchn"/>
    <w:uiPriority w:val="99"/>
    <w:semiHidden/>
    <w:unhideWhenUsed/>
    <w:rsid w:val="004D6E04"/>
    <w:rPr>
      <w:b/>
      <w:bCs/>
    </w:rPr>
  </w:style>
  <w:style w:type="character" w:customStyle="1" w:styleId="KommentarthemaZchn">
    <w:name w:val="Kommentarthema Zchn"/>
    <w:basedOn w:val="KommentartextZchn"/>
    <w:link w:val="Kommentarthema"/>
    <w:uiPriority w:val="99"/>
    <w:semiHidden/>
    <w:rsid w:val="004D6E04"/>
    <w:rPr>
      <w:b/>
      <w:bCs/>
      <w:sz w:val="20"/>
      <w:szCs w:val="20"/>
    </w:rPr>
  </w:style>
  <w:style w:type="paragraph" w:styleId="Sprechblasentext">
    <w:name w:val="Balloon Text"/>
    <w:basedOn w:val="Standard"/>
    <w:link w:val="SprechblasentextZchn"/>
    <w:uiPriority w:val="99"/>
    <w:semiHidden/>
    <w:unhideWhenUsed/>
    <w:rsid w:val="004D6E0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E04"/>
    <w:rPr>
      <w:rFonts w:ascii="Segoe UI" w:hAnsi="Segoe UI" w:cs="Segoe UI"/>
      <w:sz w:val="18"/>
      <w:szCs w:val="18"/>
    </w:rPr>
  </w:style>
  <w:style w:type="paragraph" w:styleId="berarbeitung">
    <w:name w:val="Revision"/>
    <w:hidden/>
    <w:uiPriority w:val="99"/>
    <w:semiHidden/>
    <w:rsid w:val="00E8572F"/>
    <w:pPr>
      <w:spacing w:after="0" w:line="240" w:lineRule="auto"/>
    </w:pPr>
  </w:style>
  <w:style w:type="paragraph" w:styleId="Kopfzeile">
    <w:name w:val="header"/>
    <w:basedOn w:val="Standard"/>
    <w:link w:val="KopfzeileZchn"/>
    <w:unhideWhenUsed/>
    <w:rsid w:val="006D3FD4"/>
    <w:pPr>
      <w:tabs>
        <w:tab w:val="center" w:pos="4536"/>
        <w:tab w:val="right" w:pos="9072"/>
      </w:tabs>
    </w:pPr>
  </w:style>
  <w:style w:type="character" w:customStyle="1" w:styleId="KopfzeileZchn">
    <w:name w:val="Kopfzeile Zchn"/>
    <w:basedOn w:val="Absatz-Standardschriftart"/>
    <w:link w:val="Kopfzeile"/>
    <w:uiPriority w:val="99"/>
    <w:rsid w:val="006D3FD4"/>
  </w:style>
  <w:style w:type="paragraph" w:styleId="Fuzeile">
    <w:name w:val="footer"/>
    <w:basedOn w:val="Standard"/>
    <w:link w:val="FuzeileZchn"/>
    <w:unhideWhenUsed/>
    <w:rsid w:val="006D3FD4"/>
    <w:pPr>
      <w:tabs>
        <w:tab w:val="center" w:pos="4536"/>
        <w:tab w:val="right" w:pos="9072"/>
      </w:tabs>
    </w:pPr>
  </w:style>
  <w:style w:type="character" w:customStyle="1" w:styleId="FuzeileZchn">
    <w:name w:val="Fußzeile Zchn"/>
    <w:basedOn w:val="Absatz-Standardschriftart"/>
    <w:link w:val="Fuzeile"/>
    <w:uiPriority w:val="99"/>
    <w:rsid w:val="006D3FD4"/>
  </w:style>
  <w:style w:type="paragraph" w:styleId="Funotentext">
    <w:name w:val="footnote text"/>
    <w:basedOn w:val="Standard"/>
    <w:link w:val="FunotentextZchn"/>
    <w:uiPriority w:val="99"/>
    <w:semiHidden/>
    <w:unhideWhenUsed/>
    <w:rsid w:val="006D3FD4"/>
    <w:rPr>
      <w:sz w:val="20"/>
    </w:rPr>
  </w:style>
  <w:style w:type="character" w:customStyle="1" w:styleId="FunotentextZchn">
    <w:name w:val="Fußnotentext Zchn"/>
    <w:basedOn w:val="Absatz-Standardschriftart"/>
    <w:link w:val="Funotentext"/>
    <w:uiPriority w:val="99"/>
    <w:semiHidden/>
    <w:rsid w:val="006D3FD4"/>
    <w:rPr>
      <w:sz w:val="20"/>
      <w:szCs w:val="20"/>
    </w:rPr>
  </w:style>
  <w:style w:type="character" w:styleId="Funotenzeichen">
    <w:name w:val="footnote reference"/>
    <w:basedOn w:val="Absatz-Standardschriftart"/>
    <w:uiPriority w:val="99"/>
    <w:semiHidden/>
    <w:unhideWhenUsed/>
    <w:rsid w:val="006D3FD4"/>
    <w:rPr>
      <w:vertAlign w:val="superscript"/>
    </w:rPr>
  </w:style>
  <w:style w:type="paragraph" w:customStyle="1" w:styleId="TitelEbene1">
    <w:name w:val="Titel Ebene 1"/>
    <w:basedOn w:val="Listenabsatz"/>
    <w:qFormat/>
    <w:rsid w:val="005F1474"/>
    <w:pPr>
      <w:keepNext/>
      <w:numPr>
        <w:numId w:val="5"/>
      </w:numPr>
      <w:ind w:left="709"/>
    </w:pPr>
    <w:rPr>
      <w:b/>
      <w:sz w:val="28"/>
    </w:rPr>
  </w:style>
  <w:style w:type="paragraph" w:customStyle="1" w:styleId="TitelEbene2">
    <w:name w:val="Titel Ebene 2"/>
    <w:basedOn w:val="Listenabsatz"/>
    <w:qFormat/>
    <w:rsid w:val="00D5375B"/>
    <w:pPr>
      <w:keepNext/>
      <w:numPr>
        <w:ilvl w:val="1"/>
        <w:numId w:val="1"/>
      </w:numPr>
      <w:ind w:left="709" w:hanging="709"/>
    </w:pPr>
    <w:rPr>
      <w:b/>
      <w:sz w:val="28"/>
    </w:rPr>
  </w:style>
  <w:style w:type="paragraph" w:customStyle="1" w:styleId="TitelEbene3">
    <w:name w:val="Titel Ebene 3"/>
    <w:basedOn w:val="Listenabsatz"/>
    <w:qFormat/>
    <w:rsid w:val="00D5375B"/>
    <w:pPr>
      <w:keepNext/>
      <w:numPr>
        <w:ilvl w:val="2"/>
        <w:numId w:val="1"/>
      </w:numPr>
      <w:ind w:left="851" w:hanging="862"/>
    </w:pPr>
    <w:rPr>
      <w:b/>
    </w:rPr>
  </w:style>
  <w:style w:type="paragraph" w:customStyle="1" w:styleId="Formatvorlage1">
    <w:name w:val="Formatvorlage1"/>
    <w:basedOn w:val="TitelEbene2"/>
    <w:qFormat/>
    <w:rsid w:val="009F176B"/>
  </w:style>
  <w:style w:type="paragraph" w:customStyle="1" w:styleId="Formatvorlage2">
    <w:name w:val="Formatvorlage2"/>
    <w:basedOn w:val="TitelEbene1"/>
    <w:qFormat/>
    <w:rsid w:val="009F176B"/>
  </w:style>
  <w:style w:type="paragraph" w:customStyle="1" w:styleId="Formatvorlage3">
    <w:name w:val="Formatvorlage3"/>
    <w:basedOn w:val="TitelEbene2"/>
    <w:qFormat/>
    <w:rsid w:val="00D5375B"/>
  </w:style>
  <w:style w:type="paragraph" w:customStyle="1" w:styleId="TitelVS-NfD-MerklattTeile">
    <w:name w:val="Titel VS-NfD-Merklatt Teile"/>
    <w:basedOn w:val="Standard"/>
    <w:qFormat/>
    <w:rsid w:val="00C4155B"/>
    <w:pPr>
      <w:ind w:left="425"/>
      <w:jc w:val="center"/>
      <w:outlineLvl w:val="0"/>
    </w:pPr>
    <w:rPr>
      <w:b/>
      <w:sz w:val="28"/>
    </w:rPr>
  </w:style>
  <w:style w:type="character" w:customStyle="1" w:styleId="berschrift1Zchn">
    <w:name w:val="Überschrift 1 Zchn"/>
    <w:link w:val="berschrift1"/>
    <w:uiPriority w:val="9"/>
    <w:rsid w:val="00C4155B"/>
    <w:rPr>
      <w:rFonts w:ascii="Times New Roman" w:eastAsia="SimSun" w:hAnsi="Times New Roman" w:cs="Times New Roman"/>
      <w:b/>
      <w:bCs/>
      <w:sz w:val="24"/>
      <w:szCs w:val="28"/>
      <w:lang w:val="de-DE"/>
    </w:rPr>
  </w:style>
  <w:style w:type="character" w:customStyle="1" w:styleId="berschrift2Zchn">
    <w:name w:val="Überschrift 2 Zchn"/>
    <w:link w:val="berschrift2"/>
    <w:uiPriority w:val="9"/>
    <w:rsid w:val="00C4155B"/>
    <w:rPr>
      <w:rFonts w:ascii="Times New Roman" w:eastAsia="SimSun" w:hAnsi="Times New Roman" w:cs="Times New Roman"/>
      <w:b/>
      <w:bCs/>
      <w:color w:val="000000"/>
      <w:sz w:val="24"/>
      <w:szCs w:val="26"/>
      <w:lang w:val="de-DE" w:eastAsia="de-DE"/>
    </w:rPr>
  </w:style>
  <w:style w:type="character" w:customStyle="1" w:styleId="berschrift3Zchn">
    <w:name w:val="Überschrift 3 Zchn"/>
    <w:link w:val="berschrift3"/>
    <w:uiPriority w:val="9"/>
    <w:rsid w:val="00C4155B"/>
    <w:rPr>
      <w:rFonts w:ascii="Times New Roman" w:eastAsia="SimSun" w:hAnsi="Times New Roman" w:cs="Times New Roman"/>
      <w:b/>
      <w:bCs/>
      <w:sz w:val="24"/>
      <w:szCs w:val="20"/>
      <w:lang w:val="de-DE" w:eastAsia="de-DE"/>
    </w:rPr>
  </w:style>
  <w:style w:type="character" w:customStyle="1" w:styleId="berschrift4Zchn">
    <w:name w:val="Überschrift 4 Zchn"/>
    <w:link w:val="berschrift4"/>
    <w:uiPriority w:val="9"/>
    <w:semiHidden/>
    <w:rsid w:val="00C4155B"/>
    <w:rPr>
      <w:rFonts w:ascii="Cambria" w:eastAsia="SimSun" w:hAnsi="Cambria" w:cs="Times New Roman"/>
      <w:b/>
      <w:bCs/>
      <w:i/>
      <w:iCs/>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66DDD-0055-443F-AE7D-89B2DF07E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3115</Words>
  <Characters>19629</Characters>
  <Application>Microsoft Office Word</Application>
  <DocSecurity>0</DocSecurity>
  <Lines>163</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NSA/DSA Germany</dc:creator>
  <cp:keywords/>
  <dc:description/>
  <cp:lastModifiedBy>Nuß, Tim, RS2</cp:lastModifiedBy>
  <cp:revision>4</cp:revision>
  <dcterms:created xsi:type="dcterms:W3CDTF">2022-07-04T17:41:00Z</dcterms:created>
  <dcterms:modified xsi:type="dcterms:W3CDTF">2022-08-12T06:02:00Z</dcterms:modified>
</cp:coreProperties>
</file>